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CAC6507" wp14:paraId="07011EFB" wp14:textId="11829615">
      <w:pPr>
        <w:pStyle w:val="Heading1"/>
        <w:spacing w:before="322" w:beforeAutospacing="off" w:after="322" w:afterAutospacing="off"/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Future Climate-Health Simulation and Demonstration Scenarios</w:t>
      </w:r>
    </w:p>
    <w:p xmlns:wp14="http://schemas.microsoft.com/office/word/2010/wordml" w:rsidP="1CAC6507" wp14:paraId="4A18BC0A" wp14:textId="749A6FE5">
      <w:pPr>
        <w:pStyle w:val="Heading2"/>
        <w:spacing w:before="299" w:beforeAutospacing="off" w:after="299" w:afterAutospacing="off"/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Purpose</w:t>
      </w:r>
    </w:p>
    <w:p xmlns:wp14="http://schemas.microsoft.com/office/word/2010/wordml" w:rsidP="1CAC6507" wp14:paraId="5DD6B78C" wp14:textId="4DC1F11C">
      <w:pPr>
        <w:spacing w:before="240" w:beforeAutospacing="off" w:after="240" w:afterAutospacing="off"/>
      </w:pP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>This document identifies a small number of future simulation possibilities that could later be developed using the same structured approach as the Agara demonstration.</w:t>
      </w:r>
    </w:p>
    <w:p xmlns:wp14="http://schemas.microsoft.com/office/word/2010/wordml" w:rsidP="1CAC6507" wp14:paraId="0E248CCC" wp14:textId="3DF3B360">
      <w:pPr>
        <w:spacing w:before="240" w:beforeAutospacing="off" w:after="240" w:afterAutospacing="off"/>
      </w:pP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>Agara remains the principal end-to-end demonstration.</w:t>
      </w:r>
    </w:p>
    <w:p xmlns:wp14="http://schemas.microsoft.com/office/word/2010/wordml" w:rsidP="1CAC6507" wp14:paraId="7463C1BA" wp14:textId="375A6677">
      <w:pPr>
        <w:spacing w:before="240" w:beforeAutospacing="off" w:after="240" w:afterAutospacing="off"/>
      </w:pP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>The scenarios below are preliminary concepts only. They are intended to illustrate how the HHAS and CHUD frameworks could be tested across different institutional, geographic, financing and partnership conditions.</w:t>
      </w:r>
    </w:p>
    <w:p xmlns:wp14="http://schemas.microsoft.com/office/word/2010/wordml" w:rsidP="1CAC6507" wp14:paraId="45A43BF7" wp14:textId="42FC9BB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District-to-national escalation</w:t>
      </w: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Tests how a locally detected climate-health event moves from district monitoring and response to provincial and national coordination.</w:t>
      </w:r>
    </w:p>
    <w:p xmlns:wp14="http://schemas.microsoft.com/office/word/2010/wordml" w:rsidP="1CAC6507" wp14:paraId="52E73EC9" wp14:textId="4DB9DF6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Cross-border heat event</w:t>
      </w: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Tests different warning levels, languages, data standards, institutional responsibilities and decision authorities across neighbouring countries affected by the same event.</w:t>
      </w:r>
    </w:p>
    <w:p xmlns:wp14="http://schemas.microsoft.com/office/word/2010/wordml" w:rsidP="1CAC6507" wp14:paraId="03E7E59F" wp14:textId="55EB45D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Regional climate-health partnership</w:t>
      </w: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Demonstrates shared meteorological services, pooled technical expertise, regional coordination and continued country control over health data and public-health decisions.</w:t>
      </w:r>
    </w:p>
    <w:p xmlns:wp14="http://schemas.microsoft.com/office/word/2010/wordml" w:rsidP="1CAC6507" wp14:paraId="11AE8717" wp14:textId="463AD75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Donor-funded pilot to national ownership</w:t>
      </w: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Tests programme initiation, financing milestones, implementation reporting, operational handover and the transition from external support to routine national ownership.</w:t>
      </w:r>
    </w:p>
    <w:p xmlns:wp14="http://schemas.microsoft.com/office/word/2010/wordml" w:rsidP="1CAC6507" wp14:paraId="7E0BA04E" wp14:textId="2A9B7F8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Funding performance and partner satisfaction</w:t>
      </w: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Examines how technical outputs, implementation progress, expenditure, partner feedback, delivery quality and continuation decisions can be monitored without reducing programme success to financial indicators alone.</w:t>
      </w:r>
    </w:p>
    <w:p xmlns:wp14="http://schemas.microsoft.com/office/word/2010/wordml" w:rsidP="1CAC6507" wp14:paraId="13D0E9C9" wp14:textId="08510D2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Federated country implementation</w:t>
      </w: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Demonstrates a model in which sensitive health data remain within each participating country while approved aggregate outputs, metadata and common analytical methods are shared.</w:t>
      </w:r>
    </w:p>
    <w:p xmlns:wp14="http://schemas.microsoft.com/office/word/2010/wordml" w:rsidP="1CAC6507" wp14:paraId="48957B8C" wp14:textId="337C801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Public–private data partnership</w:t>
      </w: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Tests the governed use of telecommunications, mobility, energy, commercial weather or infrastructure data alongside authoritative public-sector sources.</w:t>
      </w:r>
    </w:p>
    <w:p xmlns:wp14="http://schemas.microsoft.com/office/word/2010/wordml" w:rsidP="1CAC6507" wp14:paraId="43038A45" wp14:textId="30E201C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Government, UN and humanitarian coordination</w:t>
      </w: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Demonstrates climate-health operations involving ministries, UN agencies, humanitarian partners, local authorities and service providers during displacement or infrastructure disruption.</w:t>
      </w:r>
    </w:p>
    <w:p xmlns:wp14="http://schemas.microsoft.com/office/word/2010/wordml" w:rsidP="1CAC6507" wp14:paraId="07EDD0AA" wp14:textId="018D425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Multi-hazard cascading event</w:t>
      </w: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Combines extreme heat, electricity failure, water disruption and health-service pressure to test operational dependencies, continuity measures and coordinated public communication.</w:t>
      </w:r>
    </w:p>
    <w:p xmlns:wp14="http://schemas.microsoft.com/office/word/2010/wordml" w:rsidP="1CAC6507" wp14:paraId="55CDDAA2" wp14:textId="33D37A9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Expansion from pilot districts to national scale</w:t>
      </w: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Tests whether governance, data quality, architecture, staffing, financing and operational support remain sustainable as geographic and institutional coverage expands.</w:t>
      </w:r>
    </w:p>
    <w:p xmlns:wp14="http://schemas.microsoft.com/office/word/2010/wordml" w:rsidP="1CAC6507" wp14:paraId="6191DB2A" wp14:textId="50E58C80">
      <w:pPr>
        <w:pStyle w:val="Heading2"/>
        <w:spacing w:before="299" w:beforeAutospacing="off" w:after="299" w:afterAutospacing="off"/>
      </w:pPr>
      <w:r w:rsidRPr="1CAC6507" w:rsidR="161DBDA5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Development principle</w:t>
      </w:r>
    </w:p>
    <w:p xmlns:wp14="http://schemas.microsoft.com/office/word/2010/wordml" w:rsidP="1CAC6507" wp14:paraId="358A9000" wp14:textId="57AEE114">
      <w:pPr>
        <w:spacing w:before="240" w:beforeAutospacing="off" w:after="240" w:afterAutospacing="off"/>
      </w:pP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>These concepts should remain brief until one is selected for development.</w:t>
      </w:r>
    </w:p>
    <w:p xmlns:wp14="http://schemas.microsoft.com/office/word/2010/wordml" w:rsidP="1CAC6507" wp14:paraId="21BF028F" wp14:textId="11F2178E">
      <w:pPr>
        <w:spacing w:before="240" w:beforeAutospacing="off" w:after="240" w:afterAutospacing="off"/>
      </w:pP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>A future simulation should be expanded only where it demonstrates a materially different programme challenge from Agara and can support clear testing of governance, data, workflows, financing, partnerships or scale-up.</w:t>
      </w:r>
    </w:p>
    <w:p xmlns:wp14="http://schemas.microsoft.com/office/word/2010/wordml" w:rsidP="1CAC6507" wp14:paraId="65F80834" wp14:textId="33886C70">
      <w:pPr>
        <w:spacing w:before="240" w:beforeAutospacing="off" w:after="240" w:afterAutospacing="off"/>
      </w:pPr>
      <w:r w:rsidRPr="1CAC6507" w:rsidR="161DBDA5">
        <w:rPr>
          <w:rFonts w:ascii="Aptos" w:hAnsi="Aptos" w:eastAsia="Aptos" w:cs="Aptos"/>
          <w:noProof w:val="0"/>
          <w:sz w:val="24"/>
          <w:szCs w:val="24"/>
          <w:lang w:val="en-US"/>
        </w:rPr>
        <w:t>Agara demonstrates the complete model; future simulations should test where that model is placed under different institutional, geographic, operational or financing pressures.</w:t>
      </w:r>
    </w:p>
    <w:p xmlns:wp14="http://schemas.microsoft.com/office/word/2010/wordml" wp14:paraId="2C078E63" wp14:textId="64C26BE2"/>
    <w:sectPr>
      <w:pgSz w:w="11907" w:h="16839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7e970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501177"/>
    <w:rsid w:val="161DBDA5"/>
    <w:rsid w:val="1CAC6507"/>
    <w:rsid w:val="2950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34013"/>
  <w15:chartTrackingRefBased/>
  <w15:docId w15:val="{ADB690AD-92D7-49A5-9A1A-B4702F8FB0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CAC650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CAC650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1CAC650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06fd59e9fff474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2026-08-03T00:50:39.8482972Z</dcterms:created>
  <dcterms:modified xsi:type="dcterms:W3CDTF">2026-08-03T00:51:32.8456383Z</dcterms:modified>
  <dc:creator>Christopher Jones</dc:creator>
  <lastModifiedBy>Christopher Jones</lastModifiedBy>
</coreProperties>
</file>