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b/>
          <w:color w:val="17365D"/>
          <w:sz w:val="48"/>
        </w:rPr>
        <w:t>Climate-Health SMART Guidelines Programme</w:t>
      </w:r>
    </w:p>
    <w:p>
      <w:pPr>
        <w:jc w:val="center"/>
      </w:pPr>
      <w:r>
        <w:rPr>
          <w:b/>
          <w:color w:val="2F75B5"/>
          <w:sz w:val="36"/>
        </w:rPr>
        <w:t>Executive Summary and Overview Project Plan</w:t>
      </w:r>
    </w:p>
    <w:p>
      <w:pPr>
        <w:spacing w:before="360"/>
        <w:jc w:val="center"/>
      </w:pPr>
      <w:r>
        <w:rPr>
          <w:sz w:val="22"/>
        </w:rPr>
        <w:t>Working Draft v0.1.0 | August 2026</w:t>
      </w:r>
    </w:p>
    <w:p>
      <w:pPr>
        <w:jc w:val="center"/>
      </w:pPr>
      <w:r>
        <w:rPr>
          <w:b/>
        </w:rPr>
        <w:t>Programme owner: WHO</w:t>
      </w:r>
    </w:p>
    <w:p>
      <w:pPr>
        <w:spacing w:before="800"/>
        <w:jc w:val="center"/>
      </w:pPr>
      <w:r>
        <w:rPr>
          <w:b/>
          <w:color w:val="C00000"/>
        </w:rPr>
        <w:t>Not yet approved as an official WHO publication</w:t>
      </w:r>
    </w:p>
    <w:tbl>
      <w:tblPr>
        <w:tblW w:type="auto" w:w="0"/>
        <w:jc w:val="center"/>
        <w:tblLook w:firstColumn="1" w:firstRow="1" w:lastColumn="0" w:lastRow="0" w:noHBand="0" w:noVBand="1" w:val="04A0"/>
      </w:tblPr>
      <w:tblGrid>
        <w:gridCol w:w="10224"/>
      </w:tblGrid>
      <w:tr>
        <w:tc>
          <w:tcPr>
            <w:tcW w:type="dxa" w:w="10224"/>
            <w:shd w:fill="EAF2F8"/>
            <w:tcMar>
              <w:top w:w="120" w:type="dxa"/>
              <w:start w:w="140" w:type="dxa"/>
              <w:bottom w:w="120" w:type="dxa"/>
              <w:end w:w="140" w:type="dxa"/>
            </w:tcMar>
          </w:tcPr>
          <w:p>
            <w:r>
              <w:rPr>
                <w:b/>
                <w:color w:val="17365D"/>
              </w:rPr>
              <w:t xml:space="preserve">Purpose: </w:t>
            </w:r>
            <w:r>
              <w:t>Provide a rapid executive view of the agreed programme architecture, deliverables, implementation approach, governance, demonstration strategy, workbooks and proposed delivery plan.</w:t>
            </w:r>
          </w:p>
        </w:tc>
      </w:tr>
    </w:tbl>
    <w:p>
      <w:pPr>
        <w:spacing w:after="0"/>
      </w:pPr>
    </w:p>
    <w:p>
      <w:r>
        <w:rPr>
          <w:i/>
        </w:rPr>
        <w:t>This summary reflects the latest decisions reached during development of the preliminary package. Country-specific thresholds, institutions, data sources, legal authority and operational configurations remain subject to validation.</w:t>
      </w:r>
    </w:p>
    <w:p>
      <w:r>
        <w:br w:type="page"/>
      </w:r>
    </w:p>
    <w:p>
      <w:pPr>
        <w:pStyle w:val="Heading1"/>
      </w:pPr>
      <w:r>
        <w:t>1. Executive summary</w:t>
      </w:r>
    </w:p>
    <w:p>
      <w:r>
        <w:rPr>
          <w:b/>
        </w:rPr>
        <w:t xml:space="preserve">The Climate-Health SMART Guidelines Programme </w:t>
      </w:r>
      <w:r>
        <w:t>is a preliminary, modular package designed to help countries convert climate and health evidence into governed digital workflows, operational decisions and coordinated public-health action. The package preserves WHO legitimacy, technical quality and country ownership while reducing avoidable documentation and implementation friction.</w:t>
      </w:r>
    </w:p>
    <w:tbl>
      <w:tblPr>
        <w:tblW w:type="auto" w:w="0"/>
        <w:jc w:val="center"/>
        <w:tblLook w:firstColumn="1" w:firstRow="1" w:lastColumn="0" w:lastRow="0" w:noHBand="0" w:noVBand="1" w:val="04A0"/>
      </w:tblPr>
      <w:tblGrid>
        <w:gridCol w:w="10224"/>
      </w:tblGrid>
      <w:tr>
        <w:tc>
          <w:tcPr>
            <w:tcW w:type="dxa" w:w="10224"/>
            <w:shd w:fill="D9EAF7"/>
            <w:tcMar>
              <w:top w:w="120" w:type="dxa"/>
              <w:start w:w="140" w:type="dxa"/>
              <w:bottom w:w="120" w:type="dxa"/>
              <w:end w:w="140" w:type="dxa"/>
            </w:tcMar>
          </w:tcPr>
          <w:p>
            <w:r>
              <w:rPr>
                <w:b/>
                <w:color w:val="17365D"/>
              </w:rPr>
              <w:t xml:space="preserve">Core decision: </w:t>
            </w:r>
            <w:r>
              <w:t>The programme is organised around one umbrella layer and two connected Digital Adaptation Kits: HHAS for heat-health alerting and action, and CHUD for governed climate-health data preparation and integration.</w:t>
            </w:r>
          </w:p>
        </w:tc>
      </w:tr>
    </w:tbl>
    <w:p>
      <w:pPr>
        <w:spacing w:after="0"/>
      </w:pPr>
    </w:p>
    <w:p>
      <w:r>
        <w:t>The programme now has four principal outputs:</w:t>
      </w:r>
    </w:p>
    <w:p>
      <w:pPr>
        <w:pStyle w:val="ListBullet"/>
        <w:spacing w:after="40"/>
      </w:pPr>
      <w:r>
        <w:t>An umbrella programme package defining governance, scope, shared concepts, cross-programme traceability and country adaptation.</w:t>
      </w:r>
    </w:p>
    <w:p>
      <w:pPr>
        <w:pStyle w:val="ListBullet"/>
        <w:spacing w:after="40"/>
      </w:pPr>
      <w:r>
        <w:t>A Heat-Health Alerting System (HHAS) DAK covering monitoring, assessment, approval, warning generation, dissemination, activation, update, cancellation and post-event review.</w:t>
      </w:r>
    </w:p>
    <w:p>
      <w:pPr>
        <w:pStyle w:val="ListBullet"/>
        <w:spacing w:after="40"/>
      </w:pPr>
      <w:r>
        <w:t>A Climate and Health Unified Data (CHUD) DAK covering source governance, acquisition, validation, transformation, temporal and spatial harmonisation, integration, fitness for use, publication, correction and reprocessing.</w:t>
      </w:r>
    </w:p>
    <w:p>
      <w:pPr>
        <w:pStyle w:val="ListBullet"/>
        <w:spacing w:after="40"/>
      </w:pPr>
      <w:r>
        <w:t>A demonstration and case-study set led by Agara, supported by future simulation concepts and 12 real-world implementation cases.</w:t>
      </w:r>
    </w:p>
    <w:p>
      <w:r>
        <w:rPr>
          <w:b/>
        </w:rPr>
        <w:t xml:space="preserve">Current maturity. </w:t>
      </w:r>
      <w:r>
        <w:t>The narrative package is substantially drafted and three implementation workbooks have been created: Programme Umbrella, HHAS and CHUD. These are populated working tools rather than empty templates. They contain structured IDs, workflows, data concepts, logic, requirements, indicators, tests, country adaptation records and change controls. They are deliberately practical rather than over-engineered.</w:t>
      </w:r>
    </w:p>
    <w:p>
      <w:r>
        <w:rPr>
          <w:b/>
        </w:rPr>
        <w:t xml:space="preserve">Next phase. </w:t>
      </w:r>
      <w:r>
        <w:t>The immediate priority is controlled consolidation: editorial alignment, technical review, country groundtruthing, standards confirmation and selection of a small number of pilot use cases. The package should be treated as a working draft until WHO governance and country validation are complete.</w:t>
      </w:r>
    </w:p>
    <w:p>
      <w:pPr>
        <w:pStyle w:val="Heading1"/>
      </w:pPr>
      <w:r>
        <w:t>2. Programme overview</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2F75B5"/>
            <w:vAlign w:val="top"/>
          </w:tcPr>
          <w:p>
            <w:r>
              <w:rPr>
                <w:b/>
                <w:color w:val="FFFFFF"/>
              </w:rPr>
              <w:t>Layer</w:t>
            </w:r>
          </w:p>
        </w:tc>
        <w:tc>
          <w:tcPr>
            <w:tcW w:type="dxa" w:w="2556"/>
            <w:shd w:fill="2F75B5"/>
            <w:vAlign w:val="top"/>
          </w:tcPr>
          <w:p>
            <w:r>
              <w:rPr>
                <w:b/>
                <w:color w:val="FFFFFF"/>
              </w:rPr>
              <w:t>Primary purpose</w:t>
            </w:r>
          </w:p>
        </w:tc>
        <w:tc>
          <w:tcPr>
            <w:tcW w:type="dxa" w:w="2556"/>
            <w:shd w:fill="2F75B5"/>
            <w:vAlign w:val="top"/>
          </w:tcPr>
          <w:p>
            <w:r>
              <w:rPr>
                <w:b/>
                <w:color w:val="FFFFFF"/>
              </w:rPr>
              <w:t>Principal users</w:t>
            </w:r>
          </w:p>
        </w:tc>
        <w:tc>
          <w:tcPr>
            <w:tcW w:type="dxa" w:w="2556"/>
            <w:shd w:fill="2F75B5"/>
            <w:vAlign w:val="top"/>
          </w:tcPr>
          <w:p>
            <w:r>
              <w:rPr>
                <w:b/>
                <w:color w:val="FFFFFF"/>
              </w:rPr>
              <w:t>Main output</w:t>
            </w:r>
          </w:p>
        </w:tc>
      </w:tr>
      <w:tr>
        <w:tc>
          <w:tcPr>
            <w:tcW w:type="dxa" w:w="2556"/>
            <w:tcMar>
              <w:top w:w="70" w:type="dxa"/>
              <w:start w:w="90" w:type="dxa"/>
              <w:bottom w:w="70" w:type="dxa"/>
              <w:end w:w="90" w:type="dxa"/>
            </w:tcMar>
            <w:vAlign w:val="top"/>
          </w:tcPr>
          <w:p>
            <w:r>
              <w:t>Programme umbrella</w:t>
            </w:r>
          </w:p>
        </w:tc>
        <w:tc>
          <w:tcPr>
            <w:tcW w:type="dxa" w:w="2556"/>
            <w:tcMar>
              <w:top w:w="70" w:type="dxa"/>
              <w:start w:w="90" w:type="dxa"/>
              <w:bottom w:w="70" w:type="dxa"/>
              <w:end w:w="90" w:type="dxa"/>
            </w:tcMar>
            <w:vAlign w:val="top"/>
          </w:tcPr>
          <w:p>
            <w:r>
              <w:t>Define governance, shared architecture, scope, traceability and country adaptation.</w:t>
            </w:r>
          </w:p>
        </w:tc>
        <w:tc>
          <w:tcPr>
            <w:tcW w:type="dxa" w:w="2556"/>
            <w:tcMar>
              <w:top w:w="70" w:type="dxa"/>
              <w:start w:w="90" w:type="dxa"/>
              <w:bottom w:w="70" w:type="dxa"/>
              <w:end w:w="90" w:type="dxa"/>
            </w:tcMar>
            <w:vAlign w:val="top"/>
          </w:tcPr>
          <w:p>
            <w:r>
              <w:t>WHO, ministries, public-health institutions, partners and programme leads.</w:t>
            </w:r>
          </w:p>
        </w:tc>
        <w:tc>
          <w:tcPr>
            <w:tcW w:type="dxa" w:w="2556"/>
            <w:tcMar>
              <w:top w:w="70" w:type="dxa"/>
              <w:start w:w="90" w:type="dxa"/>
              <w:bottom w:w="70" w:type="dxa"/>
              <w:end w:w="90" w:type="dxa"/>
            </w:tcMar>
            <w:vAlign w:val="top"/>
          </w:tcPr>
          <w:p>
            <w:r>
              <w:t>Controlled programme package and implementation roadmap.</w:t>
            </w:r>
          </w:p>
        </w:tc>
      </w:tr>
      <w:tr>
        <w:tc>
          <w:tcPr>
            <w:tcW w:type="dxa" w:w="2556"/>
            <w:tcMar>
              <w:top w:w="70" w:type="dxa"/>
              <w:start w:w="90" w:type="dxa"/>
              <w:bottom w:w="70" w:type="dxa"/>
              <w:end w:w="90" w:type="dxa"/>
            </w:tcMar>
            <w:vAlign w:val="top"/>
          </w:tcPr>
          <w:p>
            <w:r>
              <w:t>HHAS</w:t>
            </w:r>
          </w:p>
        </w:tc>
        <w:tc>
          <w:tcPr>
            <w:tcW w:type="dxa" w:w="2556"/>
            <w:tcMar>
              <w:top w:w="70" w:type="dxa"/>
              <w:start w:w="90" w:type="dxa"/>
              <w:bottom w:w="70" w:type="dxa"/>
              <w:end w:w="90" w:type="dxa"/>
            </w:tcMar>
            <w:vAlign w:val="top"/>
          </w:tcPr>
          <w:p>
            <w:r>
              <w:t>Convert approved evidence into warnings, role-specific actions and coordinated response.</w:t>
            </w:r>
          </w:p>
        </w:tc>
        <w:tc>
          <w:tcPr>
            <w:tcW w:type="dxa" w:w="2556"/>
            <w:tcMar>
              <w:top w:w="70" w:type="dxa"/>
              <w:start w:w="90" w:type="dxa"/>
              <w:bottom w:w="70" w:type="dxa"/>
              <w:end w:w="90" w:type="dxa"/>
            </w:tcMar>
            <w:vAlign w:val="top"/>
          </w:tcPr>
          <w:p>
            <w:r>
              <w:t>Warning authorities, health agencies, meteorological services, local authorities, facilities and communication teams.</w:t>
            </w:r>
          </w:p>
        </w:tc>
        <w:tc>
          <w:tcPr>
            <w:tcW w:type="dxa" w:w="2556"/>
            <w:tcMar>
              <w:top w:w="70" w:type="dxa"/>
              <w:start w:w="90" w:type="dxa"/>
              <w:bottom w:w="70" w:type="dxa"/>
              <w:end w:w="90" w:type="dxa"/>
            </w:tcMar>
            <w:vAlign w:val="top"/>
          </w:tcPr>
          <w:p>
            <w:r>
              <w:t>Versioned warnings, actions, dissemination records and evaluation.</w:t>
            </w:r>
          </w:p>
        </w:tc>
      </w:tr>
      <w:tr>
        <w:tc>
          <w:tcPr>
            <w:tcW w:type="dxa" w:w="2556"/>
            <w:tcMar>
              <w:top w:w="70" w:type="dxa"/>
              <w:start w:w="90" w:type="dxa"/>
              <w:bottom w:w="70" w:type="dxa"/>
              <w:end w:w="90" w:type="dxa"/>
            </w:tcMar>
            <w:vAlign w:val="top"/>
          </w:tcPr>
          <w:p>
            <w:r>
              <w:t>CHUD</w:t>
            </w:r>
          </w:p>
        </w:tc>
        <w:tc>
          <w:tcPr>
            <w:tcW w:type="dxa" w:w="2556"/>
            <w:tcMar>
              <w:top w:w="70" w:type="dxa"/>
              <w:start w:w="90" w:type="dxa"/>
              <w:bottom w:w="70" w:type="dxa"/>
              <w:end w:w="90" w:type="dxa"/>
            </w:tcMar>
            <w:vAlign w:val="top"/>
          </w:tcPr>
          <w:p>
            <w:r>
              <w:t>Prepare governed, harmonised and traceable climate-health evidence.</w:t>
            </w:r>
          </w:p>
        </w:tc>
        <w:tc>
          <w:tcPr>
            <w:tcW w:type="dxa" w:w="2556"/>
            <w:tcMar>
              <w:top w:w="70" w:type="dxa"/>
              <w:start w:w="90" w:type="dxa"/>
              <w:bottom w:w="70" w:type="dxa"/>
              <w:end w:w="90" w:type="dxa"/>
            </w:tcMar>
            <w:vAlign w:val="top"/>
          </w:tcPr>
          <w:p>
            <w:r>
              <w:t>Data owners, stewards, pipeline operators, analysts, geospatial specialists and public-health reviewers.</w:t>
            </w:r>
          </w:p>
        </w:tc>
        <w:tc>
          <w:tcPr>
            <w:tcW w:type="dxa" w:w="2556"/>
            <w:tcMar>
              <w:top w:w="70" w:type="dxa"/>
              <w:start w:w="90" w:type="dxa"/>
              <w:bottom w:w="70" w:type="dxa"/>
              <w:end w:w="90" w:type="dxa"/>
            </w:tcMar>
            <w:vAlign w:val="top"/>
          </w:tcPr>
          <w:p>
            <w:r>
              <w:t>Validated and fit-for-use data products with full lineage.</w:t>
            </w:r>
          </w:p>
        </w:tc>
      </w:tr>
    </w:tbl>
    <w:p>
      <w:pPr>
        <w:pStyle w:val="Heading2"/>
      </w:pPr>
      <w:r>
        <w:t>2.1 Operating model</w:t>
      </w:r>
    </w:p>
    <w:p>
      <w:r>
        <w:rPr>
          <w:b/>
        </w:rPr>
        <w:t xml:space="preserve">CHUD prepares and governs the evidence layer. </w:t>
      </w:r>
      <w:r>
        <w:t>It does not independently issue warnings or make public-health decisions.</w:t>
      </w:r>
    </w:p>
    <w:p>
      <w:r>
        <w:rPr>
          <w:b/>
        </w:rPr>
        <w:t xml:space="preserve">HHAS converts approved evidence into action. </w:t>
      </w:r>
      <w:r>
        <w:t>It supports expert review and decision authority but does not replace accountable human judgement.</w:t>
      </w:r>
    </w:p>
    <w:p>
      <w:r>
        <w:rPr>
          <w:b/>
        </w:rPr>
        <w:t xml:space="preserve">The umbrella layer controls the relationship. </w:t>
      </w:r>
      <w:r>
        <w:t>It preserves scope, ownership, shared terminology, standards decisions, risk management and country adaptation.</w:t>
      </w:r>
    </w:p>
    <w:tbl>
      <w:tblPr>
        <w:tblW w:type="auto" w:w="0"/>
        <w:jc w:val="center"/>
        <w:tblLook w:firstColumn="1" w:firstRow="1" w:lastColumn="0" w:lastRow="0" w:noHBand="0" w:noVBand="1" w:val="04A0"/>
      </w:tblPr>
      <w:tblGrid>
        <w:gridCol w:w="10224"/>
      </w:tblGrid>
      <w:tr>
        <w:tc>
          <w:tcPr>
            <w:tcW w:type="dxa" w:w="10224"/>
            <w:shd w:fill="D9EAF7"/>
            <w:tcMar>
              <w:top w:w="120" w:type="dxa"/>
              <w:start w:w="140" w:type="dxa"/>
              <w:bottom w:w="120" w:type="dxa"/>
              <w:end w:w="140" w:type="dxa"/>
            </w:tcMar>
          </w:tcPr>
          <w:p>
            <w:r>
              <w:rPr>
                <w:b/>
                <w:color w:val="17365D"/>
              </w:rPr>
              <w:t xml:space="preserve">Programme principle: </w:t>
            </w:r>
            <w:r>
              <w:t>Draft early, expose assumptions, review in parallel and correct collaboratively - while keeping authority, quality, safety and ownership explicit.</w:t>
            </w:r>
          </w:p>
        </w:tc>
      </w:tr>
    </w:tbl>
    <w:p>
      <w:pPr>
        <w:spacing w:after="0"/>
      </w:pPr>
    </w:p>
    <w:p>
      <w:pPr>
        <w:pStyle w:val="Heading1"/>
      </w:pPr>
      <w:r>
        <w:t>3. Agreed deliverable set</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2F75B5"/>
            <w:vAlign w:val="top"/>
          </w:tcPr>
          <w:p>
            <w:r>
              <w:rPr>
                <w:b/>
                <w:color w:val="FFFFFF"/>
              </w:rPr>
              <w:t>Deliverable</w:t>
            </w:r>
          </w:p>
        </w:tc>
        <w:tc>
          <w:tcPr>
            <w:tcW w:type="dxa" w:w="2556"/>
            <w:shd w:fill="2F75B5"/>
            <w:vAlign w:val="top"/>
          </w:tcPr>
          <w:p>
            <w:r>
              <w:rPr>
                <w:b/>
                <w:color w:val="FFFFFF"/>
              </w:rPr>
              <w:t>Current status</w:t>
            </w:r>
          </w:p>
        </w:tc>
        <w:tc>
          <w:tcPr>
            <w:tcW w:type="dxa" w:w="2556"/>
            <w:shd w:fill="2F75B5"/>
            <w:vAlign w:val="top"/>
          </w:tcPr>
          <w:p>
            <w:r>
              <w:rPr>
                <w:b/>
                <w:color w:val="FFFFFF"/>
              </w:rPr>
              <w:t>Purpose</w:t>
            </w:r>
          </w:p>
        </w:tc>
        <w:tc>
          <w:tcPr>
            <w:tcW w:type="dxa" w:w="2556"/>
            <w:shd w:fill="2F75B5"/>
            <w:vAlign w:val="top"/>
          </w:tcPr>
          <w:p>
            <w:r>
              <w:rPr>
                <w:b/>
                <w:color w:val="FFFFFF"/>
              </w:rPr>
              <w:t>Next action</w:t>
            </w:r>
          </w:p>
        </w:tc>
      </w:tr>
      <w:tr>
        <w:tc>
          <w:tcPr>
            <w:tcW w:type="dxa" w:w="2556"/>
            <w:tcMar>
              <w:top w:w="70" w:type="dxa"/>
              <w:start w:w="90" w:type="dxa"/>
              <w:bottom w:w="70" w:type="dxa"/>
              <w:end w:w="90" w:type="dxa"/>
            </w:tcMar>
            <w:vAlign w:val="top"/>
          </w:tcPr>
          <w:p>
            <w:r>
              <w:t>Umbrella narrative package</w:t>
            </w:r>
          </w:p>
        </w:tc>
        <w:tc>
          <w:tcPr>
            <w:tcW w:type="dxa" w:w="2556"/>
            <w:tcMar>
              <w:top w:w="70" w:type="dxa"/>
              <w:start w:w="90" w:type="dxa"/>
              <w:bottom w:w="70" w:type="dxa"/>
              <w:end w:w="90" w:type="dxa"/>
            </w:tcMar>
            <w:vAlign w:val="top"/>
          </w:tcPr>
          <w:p>
            <w:r>
              <w:t>Substantially drafted</w:t>
            </w:r>
          </w:p>
        </w:tc>
        <w:tc>
          <w:tcPr>
            <w:tcW w:type="dxa" w:w="2556"/>
            <w:tcMar>
              <w:top w:w="70" w:type="dxa"/>
              <w:start w:w="90" w:type="dxa"/>
              <w:bottom w:w="70" w:type="dxa"/>
              <w:end w:w="90" w:type="dxa"/>
            </w:tcMar>
            <w:vAlign w:val="top"/>
          </w:tcPr>
          <w:p>
            <w:r>
              <w:t>Defines programme-level governance, architecture, implementation and shared requirements.</w:t>
            </w:r>
          </w:p>
        </w:tc>
        <w:tc>
          <w:tcPr>
            <w:tcW w:type="dxa" w:w="2556"/>
            <w:tcMar>
              <w:top w:w="70" w:type="dxa"/>
              <w:start w:w="90" w:type="dxa"/>
              <w:bottom w:w="70" w:type="dxa"/>
              <w:end w:w="90" w:type="dxa"/>
            </w:tcMar>
            <w:vAlign w:val="top"/>
          </w:tcPr>
          <w:p>
            <w:r>
              <w:t>Final editorial and leadership review.</w:t>
            </w:r>
          </w:p>
        </w:tc>
      </w:tr>
      <w:tr>
        <w:tc>
          <w:tcPr>
            <w:tcW w:type="dxa" w:w="2556"/>
            <w:tcMar>
              <w:top w:w="70" w:type="dxa"/>
              <w:start w:w="90" w:type="dxa"/>
              <w:bottom w:w="70" w:type="dxa"/>
              <w:end w:w="90" w:type="dxa"/>
            </w:tcMar>
            <w:vAlign w:val="top"/>
          </w:tcPr>
          <w:p>
            <w:r>
              <w:t>HHAS DAK narrative</w:t>
            </w:r>
          </w:p>
        </w:tc>
        <w:tc>
          <w:tcPr>
            <w:tcW w:type="dxa" w:w="2556"/>
            <w:tcMar>
              <w:top w:w="70" w:type="dxa"/>
              <w:start w:w="90" w:type="dxa"/>
              <w:bottom w:w="70" w:type="dxa"/>
              <w:end w:w="90" w:type="dxa"/>
            </w:tcMar>
            <w:vAlign w:val="top"/>
          </w:tcPr>
          <w:p>
            <w:r>
              <w:t>Substantially drafted</w:t>
            </w:r>
          </w:p>
        </w:tc>
        <w:tc>
          <w:tcPr>
            <w:tcW w:type="dxa" w:w="2556"/>
            <w:tcMar>
              <w:top w:w="70" w:type="dxa"/>
              <w:start w:w="90" w:type="dxa"/>
              <w:bottom w:w="70" w:type="dxa"/>
              <w:end w:w="90" w:type="dxa"/>
            </w:tcMar>
            <w:vAlign w:val="top"/>
          </w:tcPr>
          <w:p>
            <w:r>
              <w:t>Defines heat-health alerting, decision and action workflows.</w:t>
            </w:r>
          </w:p>
        </w:tc>
        <w:tc>
          <w:tcPr>
            <w:tcW w:type="dxa" w:w="2556"/>
            <w:tcMar>
              <w:top w:w="70" w:type="dxa"/>
              <w:start w:w="90" w:type="dxa"/>
              <w:bottom w:w="70" w:type="dxa"/>
              <w:end w:w="90" w:type="dxa"/>
            </w:tcMar>
            <w:vAlign w:val="top"/>
          </w:tcPr>
          <w:p>
            <w:r>
              <w:t>Technical and country review.</w:t>
            </w:r>
          </w:p>
        </w:tc>
      </w:tr>
      <w:tr>
        <w:tc>
          <w:tcPr>
            <w:tcW w:type="dxa" w:w="2556"/>
            <w:tcMar>
              <w:top w:w="70" w:type="dxa"/>
              <w:start w:w="90" w:type="dxa"/>
              <w:bottom w:w="70" w:type="dxa"/>
              <w:end w:w="90" w:type="dxa"/>
            </w:tcMar>
            <w:vAlign w:val="top"/>
          </w:tcPr>
          <w:p>
            <w:r>
              <w:t>CHUD DAK narrative</w:t>
            </w:r>
          </w:p>
        </w:tc>
        <w:tc>
          <w:tcPr>
            <w:tcW w:type="dxa" w:w="2556"/>
            <w:tcMar>
              <w:top w:w="70" w:type="dxa"/>
              <w:start w:w="90" w:type="dxa"/>
              <w:bottom w:w="70" w:type="dxa"/>
              <w:end w:w="90" w:type="dxa"/>
            </w:tcMar>
            <w:vAlign w:val="top"/>
          </w:tcPr>
          <w:p>
            <w:r>
              <w:t>Substantially drafted</w:t>
            </w:r>
          </w:p>
        </w:tc>
        <w:tc>
          <w:tcPr>
            <w:tcW w:type="dxa" w:w="2556"/>
            <w:tcMar>
              <w:top w:w="70" w:type="dxa"/>
              <w:start w:w="90" w:type="dxa"/>
              <w:bottom w:w="70" w:type="dxa"/>
              <w:end w:w="90" w:type="dxa"/>
            </w:tcMar>
            <w:vAlign w:val="top"/>
          </w:tcPr>
          <w:p>
            <w:r>
              <w:t>Defines governed climate-health data workflows and safeguards.</w:t>
            </w:r>
          </w:p>
        </w:tc>
        <w:tc>
          <w:tcPr>
            <w:tcW w:type="dxa" w:w="2556"/>
            <w:tcMar>
              <w:top w:w="70" w:type="dxa"/>
              <w:start w:w="90" w:type="dxa"/>
              <w:bottom w:w="70" w:type="dxa"/>
              <w:end w:w="90" w:type="dxa"/>
            </w:tcMar>
            <w:vAlign w:val="top"/>
          </w:tcPr>
          <w:p>
            <w:r>
              <w:t>Technical and country review.</w:t>
            </w:r>
          </w:p>
        </w:tc>
      </w:tr>
      <w:tr>
        <w:tc>
          <w:tcPr>
            <w:tcW w:type="dxa" w:w="2556"/>
            <w:tcMar>
              <w:top w:w="70" w:type="dxa"/>
              <w:start w:w="90" w:type="dxa"/>
              <w:bottom w:w="70" w:type="dxa"/>
              <w:end w:w="90" w:type="dxa"/>
            </w:tcMar>
            <w:vAlign w:val="top"/>
          </w:tcPr>
          <w:p>
            <w:r>
              <w:t>Agara demonstration</w:t>
            </w:r>
          </w:p>
        </w:tc>
        <w:tc>
          <w:tcPr>
            <w:tcW w:type="dxa" w:w="2556"/>
            <w:tcMar>
              <w:top w:w="70" w:type="dxa"/>
              <w:start w:w="90" w:type="dxa"/>
              <w:bottom w:w="70" w:type="dxa"/>
              <w:end w:w="90" w:type="dxa"/>
            </w:tcMar>
            <w:vAlign w:val="top"/>
          </w:tcPr>
          <w:p>
            <w:r>
              <w:t>Completed as principal synthetic case</w:t>
            </w:r>
          </w:p>
        </w:tc>
        <w:tc>
          <w:tcPr>
            <w:tcW w:type="dxa" w:w="2556"/>
            <w:tcMar>
              <w:top w:w="70" w:type="dxa"/>
              <w:start w:w="90" w:type="dxa"/>
              <w:bottom w:w="70" w:type="dxa"/>
              <w:end w:w="90" w:type="dxa"/>
            </w:tcMar>
            <w:vAlign w:val="top"/>
          </w:tcPr>
          <w:p>
            <w:r>
              <w:t>Demonstrates the complete CHUD-to-HHAS lifecycle.</w:t>
            </w:r>
          </w:p>
        </w:tc>
        <w:tc>
          <w:tcPr>
            <w:tcW w:type="dxa" w:w="2556"/>
            <w:tcMar>
              <w:top w:w="70" w:type="dxa"/>
              <w:start w:w="90" w:type="dxa"/>
              <w:bottom w:w="70" w:type="dxa"/>
              <w:end w:w="90" w:type="dxa"/>
            </w:tcMar>
            <w:vAlign w:val="top"/>
          </w:tcPr>
          <w:p>
            <w:r>
              <w:t>Align names and terminology across all documents.</w:t>
            </w:r>
          </w:p>
        </w:tc>
      </w:tr>
      <w:tr>
        <w:tc>
          <w:tcPr>
            <w:tcW w:type="dxa" w:w="2556"/>
            <w:tcMar>
              <w:top w:w="70" w:type="dxa"/>
              <w:start w:w="90" w:type="dxa"/>
              <w:bottom w:w="70" w:type="dxa"/>
              <w:end w:w="90" w:type="dxa"/>
            </w:tcMar>
            <w:vAlign w:val="top"/>
          </w:tcPr>
          <w:p>
            <w:r>
              <w:t>Future simulation concepts</w:t>
            </w:r>
          </w:p>
        </w:tc>
        <w:tc>
          <w:tcPr>
            <w:tcW w:type="dxa" w:w="2556"/>
            <w:tcMar>
              <w:top w:w="70" w:type="dxa"/>
              <w:start w:w="90" w:type="dxa"/>
              <w:bottom w:w="70" w:type="dxa"/>
              <w:end w:w="90" w:type="dxa"/>
            </w:tcMar>
            <w:vAlign w:val="top"/>
          </w:tcPr>
          <w:p>
            <w:r>
              <w:t>Completed as short idea bank</w:t>
            </w:r>
          </w:p>
        </w:tc>
        <w:tc>
          <w:tcPr>
            <w:tcW w:type="dxa" w:w="2556"/>
            <w:tcMar>
              <w:top w:w="70" w:type="dxa"/>
              <w:start w:w="90" w:type="dxa"/>
              <w:bottom w:w="70" w:type="dxa"/>
              <w:end w:w="90" w:type="dxa"/>
            </w:tcMar>
            <w:vAlign w:val="top"/>
          </w:tcPr>
          <w:p>
            <w:r>
              <w:t>Shows distinct future tests without over-investing early.</w:t>
            </w:r>
          </w:p>
        </w:tc>
        <w:tc>
          <w:tcPr>
            <w:tcW w:type="dxa" w:w="2556"/>
            <w:tcMar>
              <w:top w:w="70" w:type="dxa"/>
              <w:start w:w="90" w:type="dxa"/>
              <w:bottom w:w="70" w:type="dxa"/>
              <w:end w:w="90" w:type="dxa"/>
            </w:tcMar>
            <w:vAlign w:val="top"/>
          </w:tcPr>
          <w:p>
            <w:r>
              <w:t>Retain as one-page companion document.</w:t>
            </w:r>
          </w:p>
        </w:tc>
      </w:tr>
      <w:tr>
        <w:tc>
          <w:tcPr>
            <w:tcW w:type="dxa" w:w="2556"/>
            <w:tcMar>
              <w:top w:w="70" w:type="dxa"/>
              <w:start w:w="90" w:type="dxa"/>
              <w:bottom w:w="70" w:type="dxa"/>
              <w:end w:w="90" w:type="dxa"/>
            </w:tcMar>
            <w:vAlign w:val="top"/>
          </w:tcPr>
          <w:p>
            <w:r>
              <w:t>12 real-world cases</w:t>
            </w:r>
          </w:p>
        </w:tc>
        <w:tc>
          <w:tcPr>
            <w:tcW w:type="dxa" w:w="2556"/>
            <w:tcMar>
              <w:top w:w="70" w:type="dxa"/>
              <w:start w:w="90" w:type="dxa"/>
              <w:bottom w:w="70" w:type="dxa"/>
              <w:end w:w="90" w:type="dxa"/>
            </w:tcMar>
            <w:vAlign w:val="top"/>
          </w:tcPr>
          <w:p>
            <w:r>
              <w:t>Completed as comparative evidence set</w:t>
            </w:r>
          </w:p>
        </w:tc>
        <w:tc>
          <w:tcPr>
            <w:tcW w:type="dxa" w:w="2556"/>
            <w:tcMar>
              <w:top w:w="70" w:type="dxa"/>
              <w:start w:w="90" w:type="dxa"/>
              <w:bottom w:w="70" w:type="dxa"/>
              <w:end w:w="90" w:type="dxa"/>
            </w:tcMar>
            <w:vAlign w:val="top"/>
          </w:tcPr>
          <w:p>
            <w:r>
              <w:t>Tests programme relevance against documented practice.</w:t>
            </w:r>
          </w:p>
        </w:tc>
        <w:tc>
          <w:tcPr>
            <w:tcW w:type="dxa" w:w="2556"/>
            <w:tcMar>
              <w:top w:w="70" w:type="dxa"/>
              <w:start w:w="90" w:type="dxa"/>
              <w:bottom w:w="70" w:type="dxa"/>
              <w:end w:w="90" w:type="dxa"/>
            </w:tcMar>
            <w:vAlign w:val="top"/>
          </w:tcPr>
          <w:p>
            <w:r>
              <w:t>Verify references and keep undocumented details explicit.</w:t>
            </w:r>
          </w:p>
        </w:tc>
      </w:tr>
      <w:tr>
        <w:tc>
          <w:tcPr>
            <w:tcW w:type="dxa" w:w="2556"/>
            <w:tcMar>
              <w:top w:w="70" w:type="dxa"/>
              <w:start w:w="90" w:type="dxa"/>
              <w:bottom w:w="70" w:type="dxa"/>
              <w:end w:w="90" w:type="dxa"/>
            </w:tcMar>
            <w:vAlign w:val="top"/>
          </w:tcPr>
          <w:p>
            <w:r>
              <w:t>Programme Umbrella Workbook</w:t>
            </w:r>
          </w:p>
        </w:tc>
        <w:tc>
          <w:tcPr>
            <w:tcW w:type="dxa" w:w="2556"/>
            <w:tcMar>
              <w:top w:w="70" w:type="dxa"/>
              <w:start w:w="90" w:type="dxa"/>
              <w:bottom w:w="70" w:type="dxa"/>
              <w:end w:w="90" w:type="dxa"/>
            </w:tcMar>
            <w:vAlign w:val="top"/>
          </w:tcPr>
          <w:p>
            <w:r>
              <w:t>Created</w:t>
            </w:r>
          </w:p>
        </w:tc>
        <w:tc>
          <w:tcPr>
            <w:tcW w:type="dxa" w:w="2556"/>
            <w:tcMar>
              <w:top w:w="70" w:type="dxa"/>
              <w:start w:w="90" w:type="dxa"/>
              <w:bottom w:w="70" w:type="dxa"/>
              <w:end w:w="90" w:type="dxa"/>
            </w:tcMar>
            <w:vAlign w:val="top"/>
          </w:tcPr>
          <w:p>
            <w:r>
              <w:t>Programme components, governance, crosswalks, risks, validation and change control.</w:t>
            </w:r>
          </w:p>
        </w:tc>
        <w:tc>
          <w:tcPr>
            <w:tcW w:type="dxa" w:w="2556"/>
            <w:tcMar>
              <w:top w:w="70" w:type="dxa"/>
              <w:start w:w="90" w:type="dxa"/>
              <w:bottom w:w="70" w:type="dxa"/>
              <w:end w:w="90" w:type="dxa"/>
            </w:tcMar>
            <w:vAlign w:val="top"/>
          </w:tcPr>
          <w:p>
            <w:r>
              <w:t>Review and refine after first use.</w:t>
            </w:r>
          </w:p>
        </w:tc>
      </w:tr>
      <w:tr>
        <w:tc>
          <w:tcPr>
            <w:tcW w:type="dxa" w:w="2556"/>
            <w:tcMar>
              <w:top w:w="70" w:type="dxa"/>
              <w:start w:w="90" w:type="dxa"/>
              <w:bottom w:w="70" w:type="dxa"/>
              <w:end w:w="90" w:type="dxa"/>
            </w:tcMar>
            <w:vAlign w:val="top"/>
          </w:tcPr>
          <w:p>
            <w:r>
              <w:t>HHAS Implementation Workbook</w:t>
            </w:r>
          </w:p>
        </w:tc>
        <w:tc>
          <w:tcPr>
            <w:tcW w:type="dxa" w:w="2556"/>
            <w:tcMar>
              <w:top w:w="70" w:type="dxa"/>
              <w:start w:w="90" w:type="dxa"/>
              <w:bottom w:w="70" w:type="dxa"/>
              <w:end w:w="90" w:type="dxa"/>
            </w:tcMar>
            <w:vAlign w:val="top"/>
          </w:tcPr>
          <w:p>
            <w:r>
              <w:t>Created</w:t>
            </w:r>
          </w:p>
        </w:tc>
        <w:tc>
          <w:tcPr>
            <w:tcW w:type="dxa" w:w="2556"/>
            <w:tcMar>
              <w:top w:w="70" w:type="dxa"/>
              <w:start w:w="90" w:type="dxa"/>
              <w:bottom w:w="70" w:type="dxa"/>
              <w:end w:w="90" w:type="dxa"/>
            </w:tcMar>
            <w:vAlign w:val="top"/>
          </w:tcPr>
          <w:p>
            <w:r>
              <w:t>Operational HHAS personas, workflows, data, logic, requirements, tests and adaptation.</w:t>
            </w:r>
          </w:p>
        </w:tc>
        <w:tc>
          <w:tcPr>
            <w:tcW w:type="dxa" w:w="2556"/>
            <w:tcMar>
              <w:top w:w="70" w:type="dxa"/>
              <w:start w:w="90" w:type="dxa"/>
              <w:bottom w:w="70" w:type="dxa"/>
              <w:end w:w="90" w:type="dxa"/>
            </w:tcMar>
            <w:vAlign w:val="top"/>
          </w:tcPr>
          <w:p>
            <w:r>
              <w:t>Technical review and pilot mapping.</w:t>
            </w:r>
          </w:p>
        </w:tc>
      </w:tr>
      <w:tr>
        <w:tc>
          <w:tcPr>
            <w:tcW w:type="dxa" w:w="2556"/>
            <w:tcMar>
              <w:top w:w="70" w:type="dxa"/>
              <w:start w:w="90" w:type="dxa"/>
              <w:bottom w:w="70" w:type="dxa"/>
              <w:end w:w="90" w:type="dxa"/>
            </w:tcMar>
            <w:vAlign w:val="top"/>
          </w:tcPr>
          <w:p>
            <w:r>
              <w:t>CHUD Implementation Workbook</w:t>
            </w:r>
          </w:p>
        </w:tc>
        <w:tc>
          <w:tcPr>
            <w:tcW w:type="dxa" w:w="2556"/>
            <w:tcMar>
              <w:top w:w="70" w:type="dxa"/>
              <w:start w:w="90" w:type="dxa"/>
              <w:bottom w:w="70" w:type="dxa"/>
              <w:end w:w="90" w:type="dxa"/>
            </w:tcMar>
            <w:vAlign w:val="top"/>
          </w:tcPr>
          <w:p>
            <w:r>
              <w:t>Created</w:t>
            </w:r>
          </w:p>
        </w:tc>
        <w:tc>
          <w:tcPr>
            <w:tcW w:type="dxa" w:w="2556"/>
            <w:tcMar>
              <w:top w:w="70" w:type="dxa"/>
              <w:start w:w="90" w:type="dxa"/>
              <w:bottom w:w="70" w:type="dxa"/>
              <w:end w:w="90" w:type="dxa"/>
            </w:tcMar>
            <w:vAlign w:val="top"/>
          </w:tcPr>
          <w:p>
            <w:r>
              <w:t>Sources, harmonisation, integration, requirements, tests and adaptation.</w:t>
            </w:r>
          </w:p>
        </w:tc>
        <w:tc>
          <w:tcPr>
            <w:tcW w:type="dxa" w:w="2556"/>
            <w:tcMar>
              <w:top w:w="70" w:type="dxa"/>
              <w:start w:w="90" w:type="dxa"/>
              <w:bottom w:w="70" w:type="dxa"/>
              <w:end w:w="90" w:type="dxa"/>
            </w:tcMar>
            <w:vAlign w:val="top"/>
          </w:tcPr>
          <w:p>
            <w:r>
              <w:t>Technical review and pilot mapping.</w:t>
            </w:r>
          </w:p>
        </w:tc>
      </w:tr>
    </w:tbl>
    <w:p>
      <w:pPr>
        <w:pStyle w:val="Heading1"/>
      </w:pPr>
      <w:r>
        <w:t>4. Demonstration and case-study strategy</w:t>
      </w:r>
    </w:p>
    <w:p>
      <w:r>
        <w:rPr>
          <w:b/>
        </w:rPr>
        <w:t xml:space="preserve">Agara remains the flagship demonstration. </w:t>
      </w:r>
      <w:r>
        <w:t>It is the only fully developed synthetic end-to-end case at this stage. This prevents the preliminary package from becoming diluted across multiple partially developed simulations.</w:t>
      </w:r>
    </w:p>
    <w:p>
      <w:pPr>
        <w:pStyle w:val="Heading2"/>
      </w:pPr>
      <w:r>
        <w:t>4.1 Package order</w:t>
      </w:r>
    </w:p>
    <w:p>
      <w:pPr>
        <w:pStyle w:val="ListNumber"/>
        <w:spacing w:after="40"/>
      </w:pPr>
      <w:r>
        <w:t>Agara flagship demonstration - complete synthetic end-to-end implementation.</w:t>
      </w:r>
    </w:p>
    <w:p>
      <w:pPr>
        <w:pStyle w:val="ListNumber"/>
        <w:spacing w:after="40"/>
      </w:pPr>
      <w:r>
        <w:t>Future simulation possibilities - ten brief concepts testing distinct governance, geographic, partnership, financing or scale conditions.</w:t>
      </w:r>
    </w:p>
    <w:p>
      <w:pPr>
        <w:pStyle w:val="ListNumber"/>
        <w:spacing w:after="40"/>
      </w:pPr>
      <w:r>
        <w:t>Real-world climate-health implementation cases - twelve concise, referenced cases covering umbrella, HHAS and CHUD lessons.</w:t>
      </w:r>
    </w:p>
    <w:p>
      <w:pPr>
        <w:pStyle w:val="Heading2"/>
      </w:pPr>
      <w:r>
        <w:t>4.2 Evidence discipline</w:t>
      </w:r>
    </w:p>
    <w:p>
      <w:pPr>
        <w:pStyle w:val="ListBullet"/>
        <w:spacing w:after="40"/>
      </w:pPr>
      <w:r>
        <w:t>Documented practice: directly supported by published or country evidence.</w:t>
      </w:r>
    </w:p>
    <w:p>
      <w:pPr>
        <w:pStyle w:val="ListBullet"/>
        <w:spacing w:after="40"/>
      </w:pPr>
      <w:r>
        <w:t>DAK interpretation: the programme team’s structured interpretation of how a real practice relates to HHAS or CHUD.</w:t>
      </w:r>
    </w:p>
    <w:p>
      <w:pPr>
        <w:pStyle w:val="ListBullet"/>
        <w:spacing w:after="40"/>
      </w:pPr>
      <w:r>
        <w:t>Illustrative assumption: invented solely for demonstration or testing and never presented as a real country fact.</w:t>
      </w:r>
    </w:p>
    <w:tbl>
      <w:tblPr>
        <w:tblW w:type="auto" w:w="0"/>
        <w:jc w:val="center"/>
        <w:tblLook w:firstColumn="1" w:firstRow="1" w:lastColumn="0" w:lastRow="0" w:noHBand="0" w:noVBand="1" w:val="04A0"/>
      </w:tblPr>
      <w:tblGrid>
        <w:gridCol w:w="10224"/>
      </w:tblGrid>
      <w:tr>
        <w:tc>
          <w:tcPr>
            <w:tcW w:type="dxa" w:w="10224"/>
            <w:shd w:fill="FFF2CC"/>
            <w:tcMar>
              <w:top w:w="120" w:type="dxa"/>
              <w:start w:w="140" w:type="dxa"/>
              <w:bottom w:w="120" w:type="dxa"/>
              <w:end w:w="140" w:type="dxa"/>
            </w:tcMar>
          </w:tcPr>
          <w:p>
            <w:r>
              <w:rPr>
                <w:b/>
                <w:color w:val="17365D"/>
              </w:rPr>
              <w:t xml:space="preserve">Standard disclaimer: </w:t>
            </w:r>
            <w:r>
              <w:t>A real-world case may inform the programme without implying that the jurisdiction implemented the preliminary HHAS or CHUD DAK, or that all operational details are publicly documented.</w:t>
            </w:r>
          </w:p>
        </w:tc>
      </w:tr>
    </w:tbl>
    <w:p>
      <w:pPr>
        <w:spacing w:after="0"/>
      </w:pPr>
    </w:p>
    <w:p>
      <w:pPr>
        <w:pStyle w:val="Heading1"/>
      </w:pPr>
      <w:r>
        <w:t>5. Key design decisions</w:t>
      </w:r>
    </w:p>
    <w:p>
      <w:r>
        <w:rPr>
          <w:b/>
        </w:rPr>
        <w:t xml:space="preserve">Three workbooks, not eleven: </w:t>
      </w:r>
      <w:r>
        <w:t>One umbrella workbook, one HHAS workbook and one CHUD workbook. This balances traceability with usability and avoids fragmented version control.</w:t>
      </w:r>
    </w:p>
    <w:p>
      <w:r>
        <w:rPr>
          <w:b/>
        </w:rPr>
        <w:t xml:space="preserve">No single giant workbook: </w:t>
      </w:r>
      <w:r>
        <w:t>Combining all layers would create more than 35 visible sheets and make country review unnecessarily difficult.</w:t>
      </w:r>
    </w:p>
    <w:p>
      <w:r>
        <w:rPr>
          <w:b/>
        </w:rPr>
        <w:t xml:space="preserve">Working tools, not perfect software: </w:t>
      </w:r>
      <w:r>
        <w:t>The workbooks include the correct format, fields, examples, filters and key dropdowns. Every possible dropdown or automated control is not required at this stage.</w:t>
      </w:r>
    </w:p>
    <w:p>
      <w:r>
        <w:rPr>
          <w:b/>
        </w:rPr>
        <w:t xml:space="preserve">Country configuration remains separate: </w:t>
      </w:r>
      <w:r>
        <w:t>National actors, sources, thresholds, calendars, geographies, languages, channels and legal authority are recorded as adaptations, not silently embedded in generic guidance.</w:t>
      </w:r>
    </w:p>
    <w:p>
      <w:r>
        <w:rPr>
          <w:b/>
        </w:rPr>
        <w:t xml:space="preserve">Human authority is retained: </w:t>
      </w:r>
      <w:r>
        <w:t>Automation and AI may assist with drafting, checking or anomaly detection, but may not independently approve warnings, suppress evidence or make official public-health decisions.</w:t>
      </w:r>
    </w:p>
    <w:p>
      <w:r>
        <w:rPr>
          <w:b/>
        </w:rPr>
        <w:t xml:space="preserve">Predictive model boundary: </w:t>
      </w:r>
      <w:r>
        <w:t>CHUD may prepare governed model inputs and receive outputs, but the model itself remains outside core CHUD unless separately approved and governed.</w:t>
      </w:r>
    </w:p>
    <w:p>
      <w:r>
        <w:rPr>
          <w:b/>
        </w:rPr>
        <w:t xml:space="preserve">Standards are selective: </w:t>
      </w:r>
      <w:r>
        <w:t>FHIR, CAP, WIS 2.0, OGC and national standards are used where relevant and validated; the package does not claim universal or complete conformance.</w:t>
      </w:r>
    </w:p>
    <w:p>
      <w:r>
        <w:rPr>
          <w:b/>
        </w:rPr>
        <w:t xml:space="preserve">Proportionate technology: </w:t>
      </w:r>
      <w:r>
        <w:t>Existing systems, scripts, controlled spreadsheets, local processing and hybrid models remain valid where they meet requirements and can be sustained.</w:t>
      </w:r>
    </w:p>
    <w:p>
      <w:pPr>
        <w:pStyle w:val="Heading1"/>
      </w:pPr>
      <w:r>
        <w:t>6. Implementation workbook overview</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2F75B5"/>
          </w:tcPr>
          <w:p>
            <w:r>
              <w:rPr>
                <w:b/>
                <w:color w:val="FFFFFF"/>
              </w:rPr>
              <w:t>Workbook</w:t>
            </w:r>
          </w:p>
        </w:tc>
        <w:tc>
          <w:tcPr>
            <w:tcW w:type="dxa" w:w="2556"/>
            <w:shd w:fill="2F75B5"/>
          </w:tcPr>
          <w:p>
            <w:r>
              <w:rPr>
                <w:b/>
                <w:color w:val="FFFFFF"/>
              </w:rPr>
              <w:t>Scale</w:t>
            </w:r>
          </w:p>
        </w:tc>
        <w:tc>
          <w:tcPr>
            <w:tcW w:type="dxa" w:w="2556"/>
            <w:shd w:fill="2F75B5"/>
          </w:tcPr>
          <w:p>
            <w:r>
              <w:rPr>
                <w:b/>
                <w:color w:val="FFFFFF"/>
              </w:rPr>
              <w:t>Main contents</w:t>
            </w:r>
          </w:p>
        </w:tc>
        <w:tc>
          <w:tcPr>
            <w:tcW w:type="dxa" w:w="2556"/>
            <w:shd w:fill="2F75B5"/>
          </w:tcPr>
          <w:p>
            <w:r>
              <w:rPr>
                <w:b/>
                <w:color w:val="FFFFFF"/>
              </w:rPr>
              <w:t>Expected use</w:t>
            </w:r>
          </w:p>
        </w:tc>
      </w:tr>
      <w:tr>
        <w:tc>
          <w:tcPr>
            <w:tcW w:type="dxa" w:w="2556"/>
            <w:tcMar>
              <w:top w:w="70" w:type="dxa"/>
              <w:start w:w="90" w:type="dxa"/>
              <w:bottom w:w="70" w:type="dxa"/>
              <w:end w:w="90" w:type="dxa"/>
            </w:tcMar>
          </w:tcPr>
          <w:p>
            <w:r>
              <w:t>Programme Umbrella</w:t>
            </w:r>
          </w:p>
        </w:tc>
        <w:tc>
          <w:tcPr>
            <w:tcW w:type="dxa" w:w="2556"/>
            <w:tcMar>
              <w:top w:w="70" w:type="dxa"/>
              <w:start w:w="90" w:type="dxa"/>
              <w:bottom w:w="70" w:type="dxa"/>
              <w:end w:w="90" w:type="dxa"/>
            </w:tcMar>
          </w:tcPr>
          <w:p>
            <w:r>
              <w:t>10 sheets</w:t>
            </w:r>
          </w:p>
        </w:tc>
        <w:tc>
          <w:tcPr>
            <w:tcW w:type="dxa" w:w="2556"/>
            <w:tcMar>
              <w:top w:w="70" w:type="dxa"/>
              <w:start w:w="90" w:type="dxa"/>
              <w:bottom w:w="70" w:type="dxa"/>
              <w:end w:w="90" w:type="dxa"/>
            </w:tcMar>
          </w:tcPr>
          <w:p>
            <w:r>
              <w:t>Dashboard, programme components, actors, workflows, requirements, HHAS-CHUD crosswalk, country adaptation, risks, validation and change log.</w:t>
            </w:r>
          </w:p>
        </w:tc>
        <w:tc>
          <w:tcPr>
            <w:tcW w:type="dxa" w:w="2556"/>
            <w:tcMar>
              <w:top w:w="70" w:type="dxa"/>
              <w:start w:w="90" w:type="dxa"/>
              <w:bottom w:w="70" w:type="dxa"/>
              <w:end w:w="90" w:type="dxa"/>
            </w:tcMar>
          </w:tcPr>
          <w:p>
            <w:r>
              <w:t>Programme governance, consolidation and leadership review.</w:t>
            </w:r>
          </w:p>
        </w:tc>
      </w:tr>
      <w:tr>
        <w:tc>
          <w:tcPr>
            <w:tcW w:type="dxa" w:w="2556"/>
            <w:tcMar>
              <w:top w:w="70" w:type="dxa"/>
              <w:start w:w="90" w:type="dxa"/>
              <w:bottom w:w="70" w:type="dxa"/>
              <w:end w:w="90" w:type="dxa"/>
            </w:tcMar>
          </w:tcPr>
          <w:p>
            <w:r>
              <w:t>HHAS Implementation</w:t>
            </w:r>
          </w:p>
        </w:tc>
        <w:tc>
          <w:tcPr>
            <w:tcW w:type="dxa" w:w="2556"/>
            <w:tcMar>
              <w:top w:w="70" w:type="dxa"/>
              <w:start w:w="90" w:type="dxa"/>
              <w:bottom w:w="70" w:type="dxa"/>
              <w:end w:w="90" w:type="dxa"/>
            </w:tcMar>
          </w:tcPr>
          <w:p>
            <w:r>
              <w:t>17 sheets</w:t>
            </w:r>
          </w:p>
        </w:tc>
        <w:tc>
          <w:tcPr>
            <w:tcW w:type="dxa" w:w="2556"/>
            <w:tcMar>
              <w:top w:w="70" w:type="dxa"/>
              <w:start w:w="90" w:type="dxa"/>
              <w:bottom w:w="70" w:type="dxa"/>
              <w:end w:w="90" w:type="dxa"/>
            </w:tcMar>
          </w:tcPr>
          <w:p>
            <w:r>
              <w:t>Personas, scenarios, workflows, process steps, data dictionary, standards, warning logic, schedules, indicators, requirements, traceability, adaptation and tests.</w:t>
            </w:r>
          </w:p>
        </w:tc>
        <w:tc>
          <w:tcPr>
            <w:tcW w:type="dxa" w:w="2556"/>
            <w:tcMar>
              <w:top w:w="70" w:type="dxa"/>
              <w:start w:w="90" w:type="dxa"/>
              <w:bottom w:w="70" w:type="dxa"/>
              <w:end w:w="90" w:type="dxa"/>
            </w:tcMar>
          </w:tcPr>
          <w:p>
            <w:r>
              <w:t>Operational design, country workshops, requirements review and pilot testing.</w:t>
            </w:r>
          </w:p>
        </w:tc>
      </w:tr>
      <w:tr>
        <w:tc>
          <w:tcPr>
            <w:tcW w:type="dxa" w:w="2556"/>
            <w:tcMar>
              <w:top w:w="70" w:type="dxa"/>
              <w:start w:w="90" w:type="dxa"/>
              <w:bottom w:w="70" w:type="dxa"/>
              <w:end w:w="90" w:type="dxa"/>
            </w:tcMar>
          </w:tcPr>
          <w:p>
            <w:r>
              <w:t>CHUD Implementation</w:t>
            </w:r>
          </w:p>
        </w:tc>
        <w:tc>
          <w:tcPr>
            <w:tcW w:type="dxa" w:w="2556"/>
            <w:tcMar>
              <w:top w:w="70" w:type="dxa"/>
              <w:start w:w="90" w:type="dxa"/>
              <w:bottom w:w="70" w:type="dxa"/>
              <w:end w:w="90" w:type="dxa"/>
            </w:tcMar>
          </w:tcPr>
          <w:p>
            <w:r>
              <w:t>19 sheets</w:t>
            </w:r>
          </w:p>
        </w:tc>
        <w:tc>
          <w:tcPr>
            <w:tcW w:type="dxa" w:w="2556"/>
            <w:tcMar>
              <w:top w:w="70" w:type="dxa"/>
              <w:start w:w="90" w:type="dxa"/>
              <w:bottom w:w="70" w:type="dxa"/>
              <w:end w:w="90" w:type="dxa"/>
            </w:tcMar>
          </w:tcPr>
          <w:p>
            <w:r>
              <w:t>Personas, scenarios, 23 workflows, source inventory, data dictionary, standards, transformation logic, temporal and spatial harmonisation, schedules, indicators, requirements, traceability, adaptation and tests.</w:t>
            </w:r>
          </w:p>
        </w:tc>
        <w:tc>
          <w:tcPr>
            <w:tcW w:type="dxa" w:w="2556"/>
            <w:tcMar>
              <w:top w:w="70" w:type="dxa"/>
              <w:start w:w="90" w:type="dxa"/>
              <w:bottom w:w="70" w:type="dxa"/>
              <w:end w:w="90" w:type="dxa"/>
            </w:tcMar>
          </w:tcPr>
          <w:p>
            <w:r>
              <w:t>Data architecture, source onboarding, method review and pipeline validation.</w:t>
            </w:r>
          </w:p>
        </w:tc>
      </w:tr>
    </w:tbl>
    <w:p>
      <w:r>
        <w:rPr>
          <w:b/>
        </w:rPr>
        <w:t xml:space="preserve">The files are technically small. </w:t>
      </w:r>
      <w:r>
        <w:t>The principal usability risk is not file size but reviewer navigation. This is addressed through dashboards, stable IDs, frozen headers, filters, structured tables, status formatting and dedicated adaptation and change-control sheets.</w:t>
      </w:r>
    </w:p>
    <w:p>
      <w:pPr>
        <w:pStyle w:val="Heading1"/>
      </w:pPr>
      <w:r>
        <w:t>7. Proposed project approach</w:t>
      </w:r>
    </w:p>
    <w:p>
      <w:r>
        <w:t>The project should proceed as a controlled sequence of consolidation, validation, country adaptation and pilot use rather than as a technology build-first exercise.</w:t>
      </w:r>
    </w:p>
    <w:p>
      <w:r>
        <w:rPr>
          <w:b/>
          <w:color w:val="2F75B5"/>
        </w:rPr>
        <w:t>Phase 1 - Consolidate</w:t>
      </w:r>
      <w:r>
        <w:t xml:space="preserve"> - Align titles, IDs, terminology, disclaimers, metadata and cross-references across umbrella, HHAS, CHUD, Agara, case studies and workbooks.</w:t>
      </w:r>
    </w:p>
    <w:p>
      <w:r>
        <w:rPr>
          <w:b/>
          <w:color w:val="2F75B5"/>
        </w:rPr>
        <w:t>Phase 2 - Technical review</w:t>
      </w:r>
      <w:r>
        <w:t xml:space="preserve"> - Review public-health logic, data governance, temporal and spatial methods, interoperability, security, privacy, accessibility and AI boundaries.</w:t>
      </w:r>
    </w:p>
    <w:p>
      <w:r>
        <w:rPr>
          <w:b/>
          <w:color w:val="2F75B5"/>
        </w:rPr>
        <w:t>Phase 3 - Country groundtruthing</w:t>
      </w:r>
      <w:r>
        <w:t xml:space="preserve"> - Map generic actors, sources, workflows, legal authority, calendars, geographies, languages, channels, capacity and existing systems.</w:t>
      </w:r>
    </w:p>
    <w:p>
      <w:r>
        <w:rPr>
          <w:b/>
          <w:color w:val="2F75B5"/>
        </w:rPr>
        <w:t>Phase 4 - Pilot configuration</w:t>
      </w:r>
      <w:r>
        <w:t xml:space="preserve"> - Select a narrow country use case, configure existing systems and workbooks, test workflows and preserve visible gaps.</w:t>
      </w:r>
    </w:p>
    <w:p>
      <w:r>
        <w:rPr>
          <w:b/>
          <w:color w:val="2F75B5"/>
        </w:rPr>
        <w:t>Phase 5 - Operational simulation</w:t>
      </w:r>
      <w:r>
        <w:t xml:space="preserve"> - Run Agara-style tabletop or controlled simulation using country actors, data routes, approvals, dissemination and fallback procedures.</w:t>
      </w:r>
    </w:p>
    <w:p>
      <w:r>
        <w:rPr>
          <w:b/>
          <w:color w:val="2F75B5"/>
        </w:rPr>
        <w:t>Phase 6 - Revision and decision</w:t>
      </w:r>
      <w:r>
        <w:t xml:space="preserve"> - Consolidate findings, update the generic package, define country roadmap, assess scale-up and obtain formal programme decisions.</w:t>
      </w:r>
    </w:p>
    <w:p>
      <w:pPr>
        <w:pStyle w:val="Heading1"/>
      </w:pPr>
      <w:r>
        <w:t>8. Overview project plan</w:t>
      </w:r>
    </w:p>
    <w:p>
      <w:r>
        <w:t>The following is a practical planning baseline based on the current August 2026 draft. Exact governance dates and pilot-country availability remain to be confirmed.</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704"/>
            <w:shd w:fill="2F75B5"/>
            <w:vAlign w:val="top"/>
          </w:tcPr>
          <w:p>
            <w:r>
              <w:rPr>
                <w:b/>
                <w:color w:val="FFFFFF"/>
              </w:rPr>
              <w:t>Period</w:t>
            </w:r>
          </w:p>
        </w:tc>
        <w:tc>
          <w:tcPr>
            <w:tcW w:type="dxa" w:w="1704"/>
            <w:shd w:fill="2F75B5"/>
            <w:vAlign w:val="top"/>
          </w:tcPr>
          <w:p>
            <w:r>
              <w:rPr>
                <w:b/>
                <w:color w:val="FFFFFF"/>
              </w:rPr>
              <w:t>Workstream</w:t>
            </w:r>
          </w:p>
        </w:tc>
        <w:tc>
          <w:tcPr>
            <w:tcW w:type="dxa" w:w="1704"/>
            <w:shd w:fill="2F75B5"/>
            <w:vAlign w:val="top"/>
          </w:tcPr>
          <w:p>
            <w:r>
              <w:rPr>
                <w:b/>
                <w:color w:val="FFFFFF"/>
              </w:rPr>
              <w:t>Key activities</w:t>
            </w:r>
          </w:p>
        </w:tc>
        <w:tc>
          <w:tcPr>
            <w:tcW w:type="dxa" w:w="1704"/>
            <w:shd w:fill="2F75B5"/>
            <w:vAlign w:val="top"/>
          </w:tcPr>
          <w:p>
            <w:r>
              <w:rPr>
                <w:b/>
                <w:color w:val="FFFFFF"/>
              </w:rPr>
              <w:t>Primary outputs</w:t>
            </w:r>
          </w:p>
        </w:tc>
        <w:tc>
          <w:tcPr>
            <w:tcW w:type="dxa" w:w="1704"/>
            <w:shd w:fill="2F75B5"/>
            <w:vAlign w:val="top"/>
          </w:tcPr>
          <w:p>
            <w:r>
              <w:rPr>
                <w:b/>
                <w:color w:val="FFFFFF"/>
              </w:rPr>
              <w:t>Lead roles</w:t>
            </w:r>
          </w:p>
        </w:tc>
        <w:tc>
          <w:tcPr>
            <w:tcW w:type="dxa" w:w="1704"/>
            <w:shd w:fill="2F75B5"/>
            <w:vAlign w:val="top"/>
          </w:tcPr>
          <w:p>
            <w:r>
              <w:rPr>
                <w:b/>
                <w:color w:val="FFFFFF"/>
              </w:rPr>
              <w:t>Decision point</w:t>
            </w:r>
          </w:p>
        </w:tc>
      </w:tr>
      <w:tr>
        <w:tc>
          <w:tcPr>
            <w:tcW w:type="dxa" w:w="1704"/>
            <w:tcMar>
              <w:top w:w="60" w:type="dxa"/>
              <w:start w:w="70" w:type="dxa"/>
              <w:bottom w:w="60" w:type="dxa"/>
              <w:end w:w="70" w:type="dxa"/>
            </w:tcMar>
            <w:vAlign w:val="top"/>
          </w:tcPr>
          <w:p>
            <w:r>
              <w:t>Aug 2026</w:t>
            </w:r>
          </w:p>
        </w:tc>
        <w:tc>
          <w:tcPr>
            <w:tcW w:type="dxa" w:w="1704"/>
            <w:tcMar>
              <w:top w:w="60" w:type="dxa"/>
              <w:start w:w="70" w:type="dxa"/>
              <w:bottom w:w="60" w:type="dxa"/>
              <w:end w:w="70" w:type="dxa"/>
            </w:tcMar>
            <w:vAlign w:val="top"/>
          </w:tcPr>
          <w:p>
            <w:r>
              <w:t>Package consolidation</w:t>
            </w:r>
          </w:p>
        </w:tc>
        <w:tc>
          <w:tcPr>
            <w:tcW w:type="dxa" w:w="1704"/>
            <w:tcMar>
              <w:top w:w="60" w:type="dxa"/>
              <w:start w:w="70" w:type="dxa"/>
              <w:bottom w:w="60" w:type="dxa"/>
              <w:end w:w="70" w:type="dxa"/>
            </w:tcMar>
            <w:vAlign w:val="top"/>
          </w:tcPr>
          <w:p>
            <w:r>
              <w:t>Align narrative documents and three workbooks; confirm Agara naming; harmonise metadata and status language.</w:t>
            </w:r>
          </w:p>
        </w:tc>
        <w:tc>
          <w:tcPr>
            <w:tcW w:type="dxa" w:w="1704"/>
            <w:tcMar>
              <w:top w:w="60" w:type="dxa"/>
              <w:start w:w="70" w:type="dxa"/>
              <w:bottom w:w="60" w:type="dxa"/>
              <w:end w:w="70" w:type="dxa"/>
            </w:tcMar>
            <w:vAlign w:val="top"/>
          </w:tcPr>
          <w:p>
            <w:r>
              <w:t>Coherent v0.1 package and consolidated issue register.</w:t>
            </w:r>
          </w:p>
        </w:tc>
        <w:tc>
          <w:tcPr>
            <w:tcW w:type="dxa" w:w="1704"/>
            <w:tcMar>
              <w:top w:w="60" w:type="dxa"/>
              <w:start w:w="70" w:type="dxa"/>
              <w:bottom w:w="60" w:type="dxa"/>
              <w:end w:w="70" w:type="dxa"/>
            </w:tcMar>
            <w:vAlign w:val="top"/>
          </w:tcPr>
          <w:p>
            <w:r>
              <w:t>Programme drafting lead; HHAS and CHUD leads.</w:t>
            </w:r>
          </w:p>
        </w:tc>
        <w:tc>
          <w:tcPr>
            <w:tcW w:type="dxa" w:w="1704"/>
            <w:tcMar>
              <w:top w:w="60" w:type="dxa"/>
              <w:start w:w="70" w:type="dxa"/>
              <w:bottom w:w="60" w:type="dxa"/>
              <w:end w:w="70" w:type="dxa"/>
            </w:tcMar>
            <w:vAlign w:val="top"/>
          </w:tcPr>
          <w:p>
            <w:r>
              <w:t>Ready for structured review.</w:t>
            </w:r>
          </w:p>
        </w:tc>
      </w:tr>
      <w:tr>
        <w:tc>
          <w:tcPr>
            <w:tcW w:type="dxa" w:w="1704"/>
            <w:tcMar>
              <w:top w:w="60" w:type="dxa"/>
              <w:start w:w="70" w:type="dxa"/>
              <w:bottom w:w="60" w:type="dxa"/>
              <w:end w:w="70" w:type="dxa"/>
            </w:tcMar>
            <w:vAlign w:val="top"/>
          </w:tcPr>
          <w:p>
            <w:r>
              <w:t>Sep-Oct 2026</w:t>
            </w:r>
          </w:p>
        </w:tc>
        <w:tc>
          <w:tcPr>
            <w:tcW w:type="dxa" w:w="1704"/>
            <w:tcMar>
              <w:top w:w="60" w:type="dxa"/>
              <w:start w:w="70" w:type="dxa"/>
              <w:bottom w:w="60" w:type="dxa"/>
              <w:end w:w="70" w:type="dxa"/>
            </w:tcMar>
            <w:vAlign w:val="top"/>
          </w:tcPr>
          <w:p>
            <w:r>
              <w:t>Technical and governance review</w:t>
            </w:r>
          </w:p>
        </w:tc>
        <w:tc>
          <w:tcPr>
            <w:tcW w:type="dxa" w:w="1704"/>
            <w:tcMar>
              <w:top w:w="60" w:type="dxa"/>
              <w:start w:w="70" w:type="dxa"/>
              <w:bottom w:w="60" w:type="dxa"/>
              <w:end w:w="70" w:type="dxa"/>
            </w:tcMar>
            <w:vAlign w:val="top"/>
          </w:tcPr>
          <w:p>
            <w:r>
              <w:t>Review scope, public-health logic, data safeguards, standards mappings, roles, AI boundary and case-study evidence.</w:t>
            </w:r>
          </w:p>
        </w:tc>
        <w:tc>
          <w:tcPr>
            <w:tcW w:type="dxa" w:w="1704"/>
            <w:tcMar>
              <w:top w:w="60" w:type="dxa"/>
              <w:start w:w="70" w:type="dxa"/>
              <w:bottom w:w="60" w:type="dxa"/>
              <w:end w:w="70" w:type="dxa"/>
            </w:tcMar>
            <w:vAlign w:val="top"/>
          </w:tcPr>
          <w:p>
            <w:r>
              <w:t>Reviewed comments, decisions and v0.2 revisions.</w:t>
            </w:r>
          </w:p>
        </w:tc>
        <w:tc>
          <w:tcPr>
            <w:tcW w:type="dxa" w:w="1704"/>
            <w:tcMar>
              <w:top w:w="60" w:type="dxa"/>
              <w:start w:w="70" w:type="dxa"/>
              <w:bottom w:w="60" w:type="dxa"/>
              <w:end w:w="70" w:type="dxa"/>
            </w:tcMar>
            <w:vAlign w:val="top"/>
          </w:tcPr>
          <w:p>
            <w:r>
              <w:t>WHO programme owner; technical reviewers; legal/privacy/security advisers.</w:t>
            </w:r>
          </w:p>
        </w:tc>
        <w:tc>
          <w:tcPr>
            <w:tcW w:type="dxa" w:w="1704"/>
            <w:tcMar>
              <w:top w:w="60" w:type="dxa"/>
              <w:start w:w="70" w:type="dxa"/>
              <w:bottom w:w="60" w:type="dxa"/>
              <w:end w:w="70" w:type="dxa"/>
            </w:tcMar>
            <w:vAlign w:val="top"/>
          </w:tcPr>
          <w:p>
            <w:r>
              <w:t>Approve pilot-ready working draft.</w:t>
            </w:r>
          </w:p>
        </w:tc>
      </w:tr>
      <w:tr>
        <w:tc>
          <w:tcPr>
            <w:tcW w:type="dxa" w:w="1704"/>
            <w:tcMar>
              <w:top w:w="60" w:type="dxa"/>
              <w:start w:w="70" w:type="dxa"/>
              <w:bottom w:w="60" w:type="dxa"/>
              <w:end w:w="70" w:type="dxa"/>
            </w:tcMar>
            <w:vAlign w:val="top"/>
          </w:tcPr>
          <w:p>
            <w:r>
              <w:t>Oct-Nov 2026</w:t>
            </w:r>
          </w:p>
        </w:tc>
        <w:tc>
          <w:tcPr>
            <w:tcW w:type="dxa" w:w="1704"/>
            <w:tcMar>
              <w:top w:w="60" w:type="dxa"/>
              <w:start w:w="70" w:type="dxa"/>
              <w:bottom w:w="60" w:type="dxa"/>
              <w:end w:w="70" w:type="dxa"/>
            </w:tcMar>
            <w:vAlign w:val="top"/>
          </w:tcPr>
          <w:p>
            <w:r>
              <w:t>Pilot selection and readiness</w:t>
            </w:r>
          </w:p>
        </w:tc>
        <w:tc>
          <w:tcPr>
            <w:tcW w:type="dxa" w:w="1704"/>
            <w:tcMar>
              <w:top w:w="60" w:type="dxa"/>
              <w:start w:w="70" w:type="dxa"/>
              <w:bottom w:w="60" w:type="dxa"/>
              <w:end w:w="70" w:type="dxa"/>
            </w:tcMar>
            <w:vAlign w:val="top"/>
          </w:tcPr>
          <w:p>
            <w:r>
              <w:t>Confirm one or two pilot countries and narrow use cases; identify sponsors, country leads and data owners.</w:t>
            </w:r>
          </w:p>
        </w:tc>
        <w:tc>
          <w:tcPr>
            <w:tcW w:type="dxa" w:w="1704"/>
            <w:tcMar>
              <w:top w:w="60" w:type="dxa"/>
              <w:start w:w="70" w:type="dxa"/>
              <w:bottom w:w="60" w:type="dxa"/>
              <w:end w:w="70" w:type="dxa"/>
            </w:tcMar>
            <w:vAlign w:val="top"/>
          </w:tcPr>
          <w:p>
            <w:r>
              <w:t>Pilot charters, readiness assessments and stakeholder maps.</w:t>
            </w:r>
          </w:p>
        </w:tc>
        <w:tc>
          <w:tcPr>
            <w:tcW w:type="dxa" w:w="1704"/>
            <w:tcMar>
              <w:top w:w="60" w:type="dxa"/>
              <w:start w:w="70" w:type="dxa"/>
              <w:bottom w:w="60" w:type="dxa"/>
              <w:end w:w="70" w:type="dxa"/>
            </w:tcMar>
            <w:vAlign w:val="top"/>
          </w:tcPr>
          <w:p>
            <w:r>
              <w:t>Programme owner; country offices; ministries.</w:t>
            </w:r>
          </w:p>
        </w:tc>
        <w:tc>
          <w:tcPr>
            <w:tcW w:type="dxa" w:w="1704"/>
            <w:tcMar>
              <w:top w:w="60" w:type="dxa"/>
              <w:start w:w="70" w:type="dxa"/>
              <w:bottom w:w="60" w:type="dxa"/>
              <w:end w:w="70" w:type="dxa"/>
            </w:tcMar>
            <w:vAlign w:val="top"/>
          </w:tcPr>
          <w:p>
            <w:r>
              <w:t>Proceed, defer or narrow each pilot.</w:t>
            </w:r>
          </w:p>
        </w:tc>
      </w:tr>
      <w:tr>
        <w:tc>
          <w:tcPr>
            <w:tcW w:type="dxa" w:w="1704"/>
            <w:tcMar>
              <w:top w:w="60" w:type="dxa"/>
              <w:start w:w="70" w:type="dxa"/>
              <w:bottom w:w="60" w:type="dxa"/>
              <w:end w:w="70" w:type="dxa"/>
            </w:tcMar>
            <w:vAlign w:val="top"/>
          </w:tcPr>
          <w:p>
            <w:r>
              <w:t>Nov-Dec 2026</w:t>
            </w:r>
          </w:p>
        </w:tc>
        <w:tc>
          <w:tcPr>
            <w:tcW w:type="dxa" w:w="1704"/>
            <w:tcMar>
              <w:top w:w="60" w:type="dxa"/>
              <w:start w:w="70" w:type="dxa"/>
              <w:bottom w:w="60" w:type="dxa"/>
              <w:end w:w="70" w:type="dxa"/>
            </w:tcMar>
            <w:vAlign w:val="top"/>
          </w:tcPr>
          <w:p>
            <w:r>
              <w:t>Country groundtruthing</w:t>
            </w:r>
          </w:p>
        </w:tc>
        <w:tc>
          <w:tcPr>
            <w:tcW w:type="dxa" w:w="1704"/>
            <w:tcMar>
              <w:top w:w="60" w:type="dxa"/>
              <w:start w:w="70" w:type="dxa"/>
              <w:bottom w:w="60" w:type="dxa"/>
              <w:end w:w="70" w:type="dxa"/>
            </w:tcMar>
            <w:vAlign w:val="top"/>
          </w:tcPr>
          <w:p>
            <w:r>
              <w:t>Map current institutions, data sources, workflows, systems, schedules, geography, languages, channels and constraints.</w:t>
            </w:r>
          </w:p>
        </w:tc>
        <w:tc>
          <w:tcPr>
            <w:tcW w:type="dxa" w:w="1704"/>
            <w:tcMar>
              <w:top w:w="60" w:type="dxa"/>
              <w:start w:w="70" w:type="dxa"/>
              <w:bottom w:w="60" w:type="dxa"/>
              <w:end w:w="70" w:type="dxa"/>
            </w:tcMar>
            <w:vAlign w:val="top"/>
          </w:tcPr>
          <w:p>
            <w:r>
              <w:t>Country-adapted registers, gap analysis and initial roadmap.</w:t>
            </w:r>
          </w:p>
        </w:tc>
        <w:tc>
          <w:tcPr>
            <w:tcW w:type="dxa" w:w="1704"/>
            <w:tcMar>
              <w:top w:w="60" w:type="dxa"/>
              <w:start w:w="70" w:type="dxa"/>
              <w:bottom w:w="60" w:type="dxa"/>
              <w:end w:w="70" w:type="dxa"/>
            </w:tcMar>
            <w:vAlign w:val="top"/>
          </w:tcPr>
          <w:p>
            <w:r>
              <w:t>Country coordinator; national institutions; technical team.</w:t>
            </w:r>
          </w:p>
        </w:tc>
        <w:tc>
          <w:tcPr>
            <w:tcW w:type="dxa" w:w="1704"/>
            <w:tcMar>
              <w:top w:w="60" w:type="dxa"/>
              <w:start w:w="70" w:type="dxa"/>
              <w:bottom w:w="60" w:type="dxa"/>
              <w:end w:w="70" w:type="dxa"/>
            </w:tcMar>
            <w:vAlign w:val="top"/>
          </w:tcPr>
          <w:p>
            <w:r>
              <w:t>Approve country configuration for simulation.</w:t>
            </w:r>
          </w:p>
        </w:tc>
      </w:tr>
      <w:tr>
        <w:tc>
          <w:tcPr>
            <w:tcW w:type="dxa" w:w="1704"/>
            <w:tcMar>
              <w:top w:w="60" w:type="dxa"/>
              <w:start w:w="70" w:type="dxa"/>
              <w:bottom w:w="60" w:type="dxa"/>
              <w:end w:w="70" w:type="dxa"/>
            </w:tcMar>
            <w:vAlign w:val="top"/>
          </w:tcPr>
          <w:p>
            <w:r>
              <w:t>Jan-Feb 2027</w:t>
            </w:r>
          </w:p>
        </w:tc>
        <w:tc>
          <w:tcPr>
            <w:tcW w:type="dxa" w:w="1704"/>
            <w:tcMar>
              <w:top w:w="60" w:type="dxa"/>
              <w:start w:w="70" w:type="dxa"/>
              <w:bottom w:w="60" w:type="dxa"/>
              <w:end w:w="70" w:type="dxa"/>
            </w:tcMar>
            <w:vAlign w:val="top"/>
          </w:tcPr>
          <w:p>
            <w:r>
              <w:t>Configuration and simulation</w:t>
            </w:r>
          </w:p>
        </w:tc>
        <w:tc>
          <w:tcPr>
            <w:tcW w:type="dxa" w:w="1704"/>
            <w:tcMar>
              <w:top w:w="60" w:type="dxa"/>
              <w:start w:w="70" w:type="dxa"/>
              <w:bottom w:w="60" w:type="dxa"/>
              <w:end w:w="70" w:type="dxa"/>
            </w:tcMar>
            <w:vAlign w:val="top"/>
          </w:tcPr>
          <w:p>
            <w:r>
              <w:t>Configure a minimum viable implementation using existing systems where possible; conduct tabletop and technical tests.</w:t>
            </w:r>
          </w:p>
        </w:tc>
        <w:tc>
          <w:tcPr>
            <w:tcW w:type="dxa" w:w="1704"/>
            <w:tcMar>
              <w:top w:w="60" w:type="dxa"/>
              <w:start w:w="70" w:type="dxa"/>
              <w:bottom w:w="60" w:type="dxa"/>
              <w:end w:w="70" w:type="dxa"/>
            </w:tcMar>
            <w:vAlign w:val="top"/>
          </w:tcPr>
          <w:p>
            <w:r>
              <w:t>Test evidence, incident logs, revised workflows and implementation findings.</w:t>
            </w:r>
          </w:p>
        </w:tc>
        <w:tc>
          <w:tcPr>
            <w:tcW w:type="dxa" w:w="1704"/>
            <w:tcMar>
              <w:top w:w="60" w:type="dxa"/>
              <w:start w:w="70" w:type="dxa"/>
              <w:bottom w:w="60" w:type="dxa"/>
              <w:end w:w="70" w:type="dxa"/>
            </w:tcMar>
            <w:vAlign w:val="top"/>
          </w:tcPr>
          <w:p>
            <w:r>
              <w:t>Country operational team; HHAS/CHUD specialists.</w:t>
            </w:r>
          </w:p>
        </w:tc>
        <w:tc>
          <w:tcPr>
            <w:tcW w:type="dxa" w:w="1704"/>
            <w:tcMar>
              <w:top w:w="60" w:type="dxa"/>
              <w:start w:w="70" w:type="dxa"/>
              <w:bottom w:w="60" w:type="dxa"/>
              <w:end w:w="70" w:type="dxa"/>
            </w:tcMar>
            <w:vAlign w:val="top"/>
          </w:tcPr>
          <w:p>
            <w:r>
              <w:t>Determine operational feasibility and priority changes.</w:t>
            </w:r>
          </w:p>
        </w:tc>
      </w:tr>
      <w:tr>
        <w:tc>
          <w:tcPr>
            <w:tcW w:type="dxa" w:w="1704"/>
            <w:tcMar>
              <w:top w:w="60" w:type="dxa"/>
              <w:start w:w="70" w:type="dxa"/>
              <w:bottom w:w="60" w:type="dxa"/>
              <w:end w:w="70" w:type="dxa"/>
            </w:tcMar>
            <w:vAlign w:val="top"/>
          </w:tcPr>
          <w:p>
            <w:r>
              <w:t>Mar 2027</w:t>
            </w:r>
          </w:p>
        </w:tc>
        <w:tc>
          <w:tcPr>
            <w:tcW w:type="dxa" w:w="1704"/>
            <w:tcMar>
              <w:top w:w="60" w:type="dxa"/>
              <w:start w:w="70" w:type="dxa"/>
              <w:bottom w:w="60" w:type="dxa"/>
              <w:end w:w="70" w:type="dxa"/>
            </w:tcMar>
            <w:vAlign w:val="top"/>
          </w:tcPr>
          <w:p>
            <w:r>
              <w:t>Evaluation and package revision</w:t>
            </w:r>
          </w:p>
        </w:tc>
        <w:tc>
          <w:tcPr>
            <w:tcW w:type="dxa" w:w="1704"/>
            <w:tcMar>
              <w:top w:w="60" w:type="dxa"/>
              <w:start w:w="70" w:type="dxa"/>
              <w:bottom w:w="60" w:type="dxa"/>
              <w:end w:w="70" w:type="dxa"/>
            </w:tcMar>
            <w:vAlign w:val="top"/>
          </w:tcPr>
          <w:p>
            <w:r>
              <w:t>Evaluate results; update generic package, country roadmap and scale-up recommendation.</w:t>
            </w:r>
          </w:p>
        </w:tc>
        <w:tc>
          <w:tcPr>
            <w:tcW w:type="dxa" w:w="1704"/>
            <w:tcMar>
              <w:top w:w="60" w:type="dxa"/>
              <w:start w:w="70" w:type="dxa"/>
              <w:bottom w:w="60" w:type="dxa"/>
              <w:end w:w="70" w:type="dxa"/>
            </w:tcMar>
            <w:vAlign w:val="top"/>
          </w:tcPr>
          <w:p>
            <w:r>
              <w:t>v0.3 package, pilot report and decision brief.</w:t>
            </w:r>
          </w:p>
        </w:tc>
        <w:tc>
          <w:tcPr>
            <w:tcW w:type="dxa" w:w="1704"/>
            <w:tcMar>
              <w:top w:w="60" w:type="dxa"/>
              <w:start w:w="70" w:type="dxa"/>
              <w:bottom w:w="60" w:type="dxa"/>
              <w:end w:w="70" w:type="dxa"/>
            </w:tcMar>
            <w:vAlign w:val="top"/>
          </w:tcPr>
          <w:p>
            <w:r>
              <w:t>Programme owner; country leads; reviewers.</w:t>
            </w:r>
          </w:p>
        </w:tc>
        <w:tc>
          <w:tcPr>
            <w:tcW w:type="dxa" w:w="1704"/>
            <w:tcMar>
              <w:top w:w="60" w:type="dxa"/>
              <w:start w:w="70" w:type="dxa"/>
              <w:bottom w:w="60" w:type="dxa"/>
              <w:end w:w="70" w:type="dxa"/>
            </w:tcMar>
            <w:vAlign w:val="top"/>
          </w:tcPr>
          <w:p>
            <w:r>
              <w:t>Approve next-stage publication, further pilot or scale-up.</w:t>
            </w:r>
          </w:p>
        </w:tc>
      </w:tr>
      <w:tr>
        <w:tc>
          <w:tcPr>
            <w:tcW w:type="dxa" w:w="1704"/>
            <w:tcMar>
              <w:top w:w="60" w:type="dxa"/>
              <w:start w:w="70" w:type="dxa"/>
              <w:bottom w:w="60" w:type="dxa"/>
              <w:end w:w="70" w:type="dxa"/>
            </w:tcMar>
            <w:vAlign w:val="top"/>
          </w:tcPr>
          <w:p>
            <w:r>
              <w:t>After Mar 2027</w:t>
            </w:r>
          </w:p>
        </w:tc>
        <w:tc>
          <w:tcPr>
            <w:tcW w:type="dxa" w:w="1704"/>
            <w:tcMar>
              <w:top w:w="60" w:type="dxa"/>
              <w:start w:w="70" w:type="dxa"/>
              <w:bottom w:w="60" w:type="dxa"/>
              <w:end w:w="70" w:type="dxa"/>
            </w:tcMar>
            <w:vAlign w:val="top"/>
          </w:tcPr>
          <w:p>
            <w:r>
              <w:t>Formalisation and expansion</w:t>
            </w:r>
          </w:p>
        </w:tc>
        <w:tc>
          <w:tcPr>
            <w:tcW w:type="dxa" w:w="1704"/>
            <w:tcMar>
              <w:top w:w="60" w:type="dxa"/>
              <w:start w:w="70" w:type="dxa"/>
              <w:bottom w:w="60" w:type="dxa"/>
              <w:end w:w="70" w:type="dxa"/>
            </w:tcMar>
            <w:vAlign w:val="top"/>
          </w:tcPr>
          <w:p>
            <w:r>
              <w:t>Complete formal approval, editorial production, translations, implementation support and additional country adoption as authorised.</w:t>
            </w:r>
          </w:p>
        </w:tc>
        <w:tc>
          <w:tcPr>
            <w:tcW w:type="dxa" w:w="1704"/>
            <w:tcMar>
              <w:top w:w="60" w:type="dxa"/>
              <w:start w:w="70" w:type="dxa"/>
              <w:bottom w:w="60" w:type="dxa"/>
              <w:end w:w="70" w:type="dxa"/>
            </w:tcMar>
            <w:vAlign w:val="top"/>
          </w:tcPr>
          <w:p>
            <w:r>
              <w:t>Approved publication and implementation programme.</w:t>
            </w:r>
          </w:p>
        </w:tc>
        <w:tc>
          <w:tcPr>
            <w:tcW w:type="dxa" w:w="1704"/>
            <w:tcMar>
              <w:top w:w="60" w:type="dxa"/>
              <w:start w:w="70" w:type="dxa"/>
              <w:bottom w:w="60" w:type="dxa"/>
              <w:end w:w="70" w:type="dxa"/>
            </w:tcMar>
            <w:vAlign w:val="top"/>
          </w:tcPr>
          <w:p>
            <w:r>
              <w:t>WHO governance and country owners.</w:t>
            </w:r>
          </w:p>
        </w:tc>
        <w:tc>
          <w:tcPr>
            <w:tcW w:type="dxa" w:w="1704"/>
            <w:tcMar>
              <w:top w:w="60" w:type="dxa"/>
              <w:start w:w="70" w:type="dxa"/>
              <w:bottom w:w="60" w:type="dxa"/>
              <w:end w:w="70" w:type="dxa"/>
            </w:tcMar>
            <w:vAlign w:val="top"/>
          </w:tcPr>
          <w:p>
            <w:r>
              <w:t>Formal release and funded expansion.</w:t>
            </w:r>
          </w:p>
        </w:tc>
      </w:tr>
    </w:tbl>
    <w:p>
      <w:pPr>
        <w:pStyle w:val="Heading1"/>
      </w:pPr>
      <w:r>
        <w:t>9. Governance and accountability</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2F75B5"/>
          </w:tcPr>
          <w:p>
            <w:r>
              <w:rPr>
                <w:b/>
                <w:color w:val="FFFFFF"/>
              </w:rPr>
              <w:t>Role</w:t>
            </w:r>
          </w:p>
        </w:tc>
        <w:tc>
          <w:tcPr>
            <w:tcW w:type="dxa" w:w="3408"/>
            <w:shd w:fill="2F75B5"/>
          </w:tcPr>
          <w:p>
            <w:r>
              <w:rPr>
                <w:b/>
                <w:color w:val="FFFFFF"/>
              </w:rPr>
              <w:t>Accountability</w:t>
            </w:r>
          </w:p>
        </w:tc>
        <w:tc>
          <w:tcPr>
            <w:tcW w:type="dxa" w:w="3408"/>
            <w:shd w:fill="2F75B5"/>
          </w:tcPr>
          <w:p>
            <w:r>
              <w:rPr>
                <w:b/>
                <w:color w:val="FFFFFF"/>
              </w:rPr>
              <w:t>Immediate responsibility</w:t>
            </w:r>
          </w:p>
        </w:tc>
      </w:tr>
      <w:tr>
        <w:tc>
          <w:tcPr>
            <w:tcW w:type="dxa" w:w="3408"/>
            <w:tcMar>
              <w:top w:w="70" w:type="dxa"/>
              <w:start w:w="90" w:type="dxa"/>
              <w:bottom w:w="70" w:type="dxa"/>
              <w:end w:w="90" w:type="dxa"/>
            </w:tcMar>
          </w:tcPr>
          <w:p>
            <w:r>
              <w:t>WHO programme owner</w:t>
            </w:r>
          </w:p>
        </w:tc>
        <w:tc>
          <w:tcPr>
            <w:tcW w:type="dxa" w:w="3408"/>
            <w:tcMar>
              <w:top w:w="70" w:type="dxa"/>
              <w:start w:w="90" w:type="dxa"/>
              <w:bottom w:w="70" w:type="dxa"/>
              <w:end w:w="90" w:type="dxa"/>
            </w:tcMar>
          </w:tcPr>
          <w:p>
            <w:r>
              <w:t>Programme scope, legitimacy, prioritisation, review route and approval.</w:t>
            </w:r>
          </w:p>
        </w:tc>
        <w:tc>
          <w:tcPr>
            <w:tcW w:type="dxa" w:w="3408"/>
            <w:tcMar>
              <w:top w:w="70" w:type="dxa"/>
              <w:start w:w="90" w:type="dxa"/>
              <w:bottom w:w="70" w:type="dxa"/>
              <w:end w:w="90" w:type="dxa"/>
            </w:tcMar>
          </w:tcPr>
          <w:p>
            <w:r>
              <w:t>Confirm governance, reviewers, pilot pathway and publication status.</w:t>
            </w:r>
          </w:p>
        </w:tc>
      </w:tr>
      <w:tr>
        <w:tc>
          <w:tcPr>
            <w:tcW w:type="dxa" w:w="3408"/>
            <w:tcMar>
              <w:top w:w="70" w:type="dxa"/>
              <w:start w:w="90" w:type="dxa"/>
              <w:bottom w:w="70" w:type="dxa"/>
              <w:end w:w="90" w:type="dxa"/>
            </w:tcMar>
          </w:tcPr>
          <w:p>
            <w:r>
              <w:t>HHAS technical lead</w:t>
            </w:r>
          </w:p>
        </w:tc>
        <w:tc>
          <w:tcPr>
            <w:tcW w:type="dxa" w:w="3408"/>
            <w:tcMar>
              <w:top w:w="70" w:type="dxa"/>
              <w:start w:w="90" w:type="dxa"/>
              <w:bottom w:w="70" w:type="dxa"/>
              <w:end w:w="90" w:type="dxa"/>
            </w:tcMar>
          </w:tcPr>
          <w:p>
            <w:r>
              <w:t>Heat-health workflows, decision logic, actions, communication and evaluation.</w:t>
            </w:r>
          </w:p>
        </w:tc>
        <w:tc>
          <w:tcPr>
            <w:tcW w:type="dxa" w:w="3408"/>
            <w:tcMar>
              <w:top w:w="70" w:type="dxa"/>
              <w:start w:w="90" w:type="dxa"/>
              <w:bottom w:w="70" w:type="dxa"/>
              <w:end w:w="90" w:type="dxa"/>
            </w:tcMar>
          </w:tcPr>
          <w:p>
            <w:r>
              <w:t>Resolve technical comments and guide country configuration.</w:t>
            </w:r>
          </w:p>
        </w:tc>
      </w:tr>
      <w:tr>
        <w:tc>
          <w:tcPr>
            <w:tcW w:type="dxa" w:w="3408"/>
            <w:tcMar>
              <w:top w:w="70" w:type="dxa"/>
              <w:start w:w="90" w:type="dxa"/>
              <w:bottom w:w="70" w:type="dxa"/>
              <w:end w:w="90" w:type="dxa"/>
            </w:tcMar>
          </w:tcPr>
          <w:p>
            <w:r>
              <w:t>CHUD technical lead</w:t>
            </w:r>
          </w:p>
        </w:tc>
        <w:tc>
          <w:tcPr>
            <w:tcW w:type="dxa" w:w="3408"/>
            <w:tcMar>
              <w:top w:w="70" w:type="dxa"/>
              <w:start w:w="90" w:type="dxa"/>
              <w:bottom w:w="70" w:type="dxa"/>
              <w:end w:w="90" w:type="dxa"/>
            </w:tcMar>
          </w:tcPr>
          <w:p>
            <w:r>
              <w:t>Data governance, harmonisation, integration, quality, lineage and architecture.</w:t>
            </w:r>
          </w:p>
        </w:tc>
        <w:tc>
          <w:tcPr>
            <w:tcW w:type="dxa" w:w="3408"/>
            <w:tcMar>
              <w:top w:w="70" w:type="dxa"/>
              <w:start w:w="90" w:type="dxa"/>
              <w:bottom w:w="70" w:type="dxa"/>
              <w:end w:w="90" w:type="dxa"/>
            </w:tcMar>
          </w:tcPr>
          <w:p>
            <w:r>
              <w:t>Resolve data-method and interoperability comments.</w:t>
            </w:r>
          </w:p>
        </w:tc>
      </w:tr>
      <w:tr>
        <w:tc>
          <w:tcPr>
            <w:tcW w:type="dxa" w:w="3408"/>
            <w:tcMar>
              <w:top w:w="70" w:type="dxa"/>
              <w:start w:w="90" w:type="dxa"/>
              <w:bottom w:w="70" w:type="dxa"/>
              <w:end w:w="90" w:type="dxa"/>
            </w:tcMar>
          </w:tcPr>
          <w:p>
            <w:r>
              <w:t>Country programme coordinator</w:t>
            </w:r>
          </w:p>
        </w:tc>
        <w:tc>
          <w:tcPr>
            <w:tcW w:type="dxa" w:w="3408"/>
            <w:tcMar>
              <w:top w:w="70" w:type="dxa"/>
              <w:start w:w="90" w:type="dxa"/>
              <w:bottom w:w="70" w:type="dxa"/>
              <w:end w:w="90" w:type="dxa"/>
            </w:tcMar>
          </w:tcPr>
          <w:p>
            <w:r>
              <w:t>Country ownership, actor mapping, evidence collection and decision coordination.</w:t>
            </w:r>
          </w:p>
        </w:tc>
        <w:tc>
          <w:tcPr>
            <w:tcW w:type="dxa" w:w="3408"/>
            <w:tcMar>
              <w:top w:w="70" w:type="dxa"/>
              <w:start w:w="90" w:type="dxa"/>
              <w:bottom w:w="70" w:type="dxa"/>
              <w:end w:w="90" w:type="dxa"/>
            </w:tcMar>
          </w:tcPr>
          <w:p>
            <w:r>
              <w:t>Lead groundtruthing and maintain country adaptation register.</w:t>
            </w:r>
          </w:p>
        </w:tc>
      </w:tr>
      <w:tr>
        <w:tc>
          <w:tcPr>
            <w:tcW w:type="dxa" w:w="3408"/>
            <w:tcMar>
              <w:top w:w="70" w:type="dxa"/>
              <w:start w:w="90" w:type="dxa"/>
              <w:bottom w:w="70" w:type="dxa"/>
              <w:end w:w="90" w:type="dxa"/>
            </w:tcMar>
          </w:tcPr>
          <w:p>
            <w:r>
              <w:t>National institutions</w:t>
            </w:r>
          </w:p>
        </w:tc>
        <w:tc>
          <w:tcPr>
            <w:tcW w:type="dxa" w:w="3408"/>
            <w:tcMar>
              <w:top w:w="70" w:type="dxa"/>
              <w:start w:w="90" w:type="dxa"/>
              <w:bottom w:w="70" w:type="dxa"/>
              <w:end w:w="90" w:type="dxa"/>
            </w:tcMar>
          </w:tcPr>
          <w:p>
            <w:r>
              <w:t>Authoritative decisions over mandates, data, methods, warning authority and operations.</w:t>
            </w:r>
          </w:p>
        </w:tc>
        <w:tc>
          <w:tcPr>
            <w:tcW w:type="dxa" w:w="3408"/>
            <w:tcMar>
              <w:top w:w="70" w:type="dxa"/>
              <w:start w:w="90" w:type="dxa"/>
              <w:bottom w:w="70" w:type="dxa"/>
              <w:end w:w="90" w:type="dxa"/>
            </w:tcMar>
          </w:tcPr>
          <w:p>
            <w:r>
              <w:t>Validate or reject generic assumptions and approve national configuration.</w:t>
            </w:r>
          </w:p>
        </w:tc>
      </w:tr>
      <w:tr>
        <w:tc>
          <w:tcPr>
            <w:tcW w:type="dxa" w:w="3408"/>
            <w:tcMar>
              <w:top w:w="70" w:type="dxa"/>
              <w:start w:w="90" w:type="dxa"/>
              <w:bottom w:w="70" w:type="dxa"/>
              <w:end w:w="90" w:type="dxa"/>
            </w:tcMar>
          </w:tcPr>
          <w:p>
            <w:r>
              <w:t>Implementation and funding partners</w:t>
            </w:r>
          </w:p>
        </w:tc>
        <w:tc>
          <w:tcPr>
            <w:tcW w:type="dxa" w:w="3408"/>
            <w:tcMar>
              <w:top w:w="70" w:type="dxa"/>
              <w:start w:w="90" w:type="dxa"/>
              <w:bottom w:w="70" w:type="dxa"/>
              <w:end w:w="90" w:type="dxa"/>
            </w:tcMar>
          </w:tcPr>
          <w:p>
            <w:r>
              <w:t>Defined finance, technical support, milestones, feedback and handover.</w:t>
            </w:r>
          </w:p>
        </w:tc>
        <w:tc>
          <w:tcPr>
            <w:tcW w:type="dxa" w:w="3408"/>
            <w:tcMar>
              <w:top w:w="70" w:type="dxa"/>
              <w:start w:w="90" w:type="dxa"/>
              <w:bottom w:w="70" w:type="dxa"/>
              <w:end w:w="90" w:type="dxa"/>
            </w:tcMar>
          </w:tcPr>
          <w:p>
            <w:r>
              <w:t>Deliver agreed support without displacing country authority.</w:t>
            </w:r>
          </w:p>
        </w:tc>
      </w:tr>
      <w:tr>
        <w:tc>
          <w:tcPr>
            <w:tcW w:type="dxa" w:w="3408"/>
            <w:tcMar>
              <w:top w:w="70" w:type="dxa"/>
              <w:start w:w="90" w:type="dxa"/>
              <w:bottom w:w="70" w:type="dxa"/>
              <w:end w:w="90" w:type="dxa"/>
            </w:tcMar>
          </w:tcPr>
          <w:p>
            <w:r>
              <w:t>Reviewers</w:t>
            </w:r>
          </w:p>
        </w:tc>
        <w:tc>
          <w:tcPr>
            <w:tcW w:type="dxa" w:w="3408"/>
            <w:tcMar>
              <w:top w:w="70" w:type="dxa"/>
              <w:start w:w="90" w:type="dxa"/>
              <w:bottom w:w="70" w:type="dxa"/>
              <w:end w:w="90" w:type="dxa"/>
            </w:tcMar>
          </w:tcPr>
          <w:p>
            <w:r>
              <w:t>Independent scientific, technical, legal, privacy, security and editorial review.</w:t>
            </w:r>
          </w:p>
        </w:tc>
        <w:tc>
          <w:tcPr>
            <w:tcW w:type="dxa" w:w="3408"/>
            <w:tcMar>
              <w:top w:w="70" w:type="dxa"/>
              <w:start w:w="90" w:type="dxa"/>
              <w:bottom w:w="70" w:type="dxa"/>
              <w:end w:w="90" w:type="dxa"/>
            </w:tcMar>
          </w:tcPr>
          <w:p>
            <w:r>
              <w:t>Record findings, severity, rationale and required action.</w:t>
            </w:r>
          </w:p>
        </w:tc>
      </w:tr>
    </w:tbl>
    <w:p>
      <w:pPr>
        <w:pStyle w:val="Heading1"/>
      </w:pPr>
      <w:r>
        <w:t>10. Principal risks and controls</w:t>
      </w:r>
    </w:p>
    <w:p>
      <w:r>
        <w:rPr>
          <w:b/>
        </w:rPr>
        <w:t xml:space="preserve">Unclear governance or legal authority: </w:t>
      </w:r>
      <w:r>
        <w:t>No official warning or country implementation should proceed without confirmed ownership and decision authority.</w:t>
      </w:r>
    </w:p>
    <w:p>
      <w:r>
        <w:rPr>
          <w:b/>
        </w:rPr>
        <w:t xml:space="preserve">Illustrative content mistaken for normative guidance: </w:t>
      </w:r>
      <w:r>
        <w:t>Label all demonstration institutions, values and thresholds as illustrative and country configurable.</w:t>
      </w:r>
    </w:p>
    <w:p>
      <w:r>
        <w:rPr>
          <w:b/>
        </w:rPr>
        <w:t xml:space="preserve">Unsupported temporal or spatial precision: </w:t>
      </w:r>
      <w:r>
        <w:t>CHUD rules block or label disaggregation that is not supported by the source or an approved estimation method.</w:t>
      </w:r>
    </w:p>
    <w:p>
      <w:r>
        <w:rPr>
          <w:b/>
        </w:rPr>
        <w:t xml:space="preserve">Invalid data entering decisions: </w:t>
      </w:r>
      <w:r>
        <w:t>Critical quality failures are quarantined; fitness for use is assessed for a specific version and purpose.</w:t>
      </w:r>
    </w:p>
    <w:p>
      <w:r>
        <w:rPr>
          <w:b/>
        </w:rPr>
        <w:t xml:space="preserve">Over-engineered technology: </w:t>
      </w:r>
      <w:r>
        <w:t>Use the simplest maintainable architecture that satisfies governance, quality, security and continuity needs.</w:t>
      </w:r>
    </w:p>
    <w:p>
      <w:r>
        <w:rPr>
          <w:b/>
        </w:rPr>
        <w:t xml:space="preserve">Nominal standards claims: </w:t>
      </w:r>
      <w:r>
        <w:t>Keep standards mappings proposed until versions, profiles, national extensions and tests are confirmed.</w:t>
      </w:r>
    </w:p>
    <w:p>
      <w:r>
        <w:rPr>
          <w:b/>
        </w:rPr>
        <w:t xml:space="preserve">AI overreach: </w:t>
      </w:r>
      <w:r>
        <w:t>Require registered use cases, provenance, human review, rejection capability and non-AI fallback.</w:t>
      </w:r>
    </w:p>
    <w:p>
      <w:r>
        <w:rPr>
          <w:b/>
        </w:rPr>
        <w:t xml:space="preserve">Pilot dependency and sustainability: </w:t>
      </w:r>
      <w:r>
        <w:t>Track operational owner, staffing, cost, support, handover and exit conditions from the beginning.</w:t>
      </w:r>
    </w:p>
    <w:p>
      <w:r>
        <w:rPr>
          <w:b/>
        </w:rPr>
        <w:t xml:space="preserve">Fragmented documents and versions: </w:t>
      </w:r>
      <w:r>
        <w:t>Use the umbrella workbook and stable IDs as the control point across narratives, HHAS, CHUD and country adaptations.</w:t>
      </w:r>
    </w:p>
    <w:p>
      <w:r>
        <w:rPr>
          <w:b/>
        </w:rPr>
        <w:t xml:space="preserve">Inadequate country participation: </w:t>
      </w:r>
      <w:r>
        <w:t>Treat unresolved details as gaps for groundtruthing rather than inventing answers centrally.</w:t>
      </w:r>
    </w:p>
    <w:p>
      <w:pPr>
        <w:pStyle w:val="Heading1"/>
      </w:pPr>
      <w:r>
        <w:t>11. Near-term success measures</w:t>
      </w:r>
    </w:p>
    <w:p>
      <w:pPr>
        <w:pStyle w:val="ListBullet"/>
        <w:spacing w:after="40"/>
      </w:pPr>
      <w:r>
        <w:t>A coherent, internally consistent v0.2 package is available for pilot use.</w:t>
      </w:r>
    </w:p>
    <w:p>
      <w:pPr>
        <w:pStyle w:val="ListBullet"/>
        <w:spacing w:after="40"/>
      </w:pPr>
      <w:r>
        <w:t>All critical programme, HHAS and CHUD roles have owners or explicitly recorded gaps.</w:t>
      </w:r>
    </w:p>
    <w:p>
      <w:pPr>
        <w:pStyle w:val="ListBullet"/>
        <w:spacing w:after="40"/>
      </w:pPr>
      <w:r>
        <w:t>At least one country use case is narrowed to a practical, governed pilot scope.</w:t>
      </w:r>
    </w:p>
    <w:p>
      <w:pPr>
        <w:pStyle w:val="ListBullet"/>
        <w:spacing w:after="40"/>
      </w:pPr>
      <w:r>
        <w:t>Country sources, calendars, geographies, decision authority and dissemination channels are mapped.</w:t>
      </w:r>
    </w:p>
    <w:p>
      <w:pPr>
        <w:pStyle w:val="ListBullet"/>
        <w:spacing w:after="40"/>
      </w:pPr>
      <w:r>
        <w:t>The Agara demonstration can be traced through umbrella, HHAS and CHUD requirements and tests.</w:t>
      </w:r>
    </w:p>
    <w:p>
      <w:pPr>
        <w:pStyle w:val="ListBullet"/>
        <w:spacing w:after="40"/>
      </w:pPr>
      <w:r>
        <w:t>A tabletop or controlled simulation demonstrates approval, action, update, correction and fallback.</w:t>
      </w:r>
    </w:p>
    <w:p>
      <w:pPr>
        <w:pStyle w:val="ListBullet"/>
        <w:spacing w:after="40"/>
      </w:pPr>
      <w:r>
        <w:t>Critical data, privacy, security, standards and sustainability issues have decisions or mitigation plans.</w:t>
      </w:r>
    </w:p>
    <w:p>
      <w:pPr>
        <w:pStyle w:val="ListBullet"/>
        <w:spacing w:after="40"/>
      </w:pPr>
      <w:r>
        <w:t>The programme can make an evidence-based decision on formal publication, further piloting or scale-up.</w:t>
      </w:r>
    </w:p>
    <w:p>
      <w:pPr>
        <w:pStyle w:val="Heading1"/>
      </w:pPr>
      <w:r>
        <w:t>12. Immediate next actions</w:t>
      </w:r>
    </w:p>
    <w:p>
      <w:pPr>
        <w:pStyle w:val="ListNumber"/>
        <w:spacing w:after="40"/>
      </w:pPr>
      <w:r>
        <w:t>Freeze the current working-draft package as v0.1.0 and maintain one controlled issue and change register.</w:t>
      </w:r>
    </w:p>
    <w:p>
      <w:pPr>
        <w:pStyle w:val="ListNumber"/>
        <w:spacing w:after="40"/>
      </w:pPr>
      <w:r>
        <w:t>Confirm the official programme title, Agara spelling, document metadata and ownership statement across all files.</w:t>
      </w:r>
    </w:p>
    <w:p>
      <w:pPr>
        <w:pStyle w:val="ListNumber"/>
        <w:spacing w:after="40"/>
      </w:pPr>
      <w:r>
        <w:t>Nominate the minimum review group: programme governance, heat-health, epidemiology, meteorology, data governance, geospatial, interoperability, privacy, security and editorial.</w:t>
      </w:r>
    </w:p>
    <w:p>
      <w:pPr>
        <w:pStyle w:val="ListNumber"/>
        <w:spacing w:after="40"/>
      </w:pPr>
      <w:r>
        <w:t>Run a rapid consistency review across the umbrella, HHAS and CHUD narratives and workbooks.</w:t>
      </w:r>
    </w:p>
    <w:p>
      <w:pPr>
        <w:pStyle w:val="ListNumber"/>
        <w:spacing w:after="40"/>
      </w:pPr>
      <w:r>
        <w:t>Identify one or two candidate pilot countries and request a narrow proposed use case rather than a broad national transformation.</w:t>
      </w:r>
    </w:p>
    <w:p>
      <w:pPr>
        <w:pStyle w:val="ListNumber"/>
        <w:spacing w:after="40"/>
      </w:pPr>
      <w:r>
        <w:t>Use the country-adaptation sheets as the primary groundtruthing instruments.</w:t>
      </w:r>
    </w:p>
    <w:p>
      <w:pPr>
        <w:pStyle w:val="ListNumber"/>
        <w:spacing w:after="40"/>
      </w:pPr>
      <w:r>
        <w:t>Plan one structured Agara walkthrough with programme and technical reviewers before country simulation.</w:t>
      </w:r>
    </w:p>
    <w:p>
      <w:pPr>
        <w:pStyle w:val="ListNumber"/>
        <w:spacing w:after="40"/>
      </w:pPr>
      <w:r>
        <w:t>After initial feedback, release a revised v0.2 package with resolved decisions and clearly retained open questions.</w:t>
      </w:r>
    </w:p>
    <w:tbl>
      <w:tblPr>
        <w:tblW w:type="auto" w:w="0"/>
        <w:jc w:val="center"/>
        <w:tblLook w:firstColumn="1" w:firstRow="1" w:lastColumn="0" w:lastRow="0" w:noHBand="0" w:noVBand="1" w:val="04A0"/>
      </w:tblPr>
      <w:tblGrid>
        <w:gridCol w:w="10224"/>
      </w:tblGrid>
      <w:tr>
        <w:tc>
          <w:tcPr>
            <w:tcW w:type="dxa" w:w="10224"/>
            <w:shd w:fill="E2F0D9"/>
            <w:tcMar>
              <w:top w:w="120" w:type="dxa"/>
              <w:start w:w="140" w:type="dxa"/>
              <w:bottom w:w="120" w:type="dxa"/>
              <w:end w:w="140" w:type="dxa"/>
            </w:tcMar>
          </w:tcPr>
          <w:p>
            <w:r>
              <w:rPr>
                <w:b/>
                <w:color w:val="17365D"/>
              </w:rPr>
              <w:t xml:space="preserve">Overall position: </w:t>
            </w:r>
            <w:r>
              <w:t>The programme is ready to move from drafting into controlled review and country groundtruthing. It is not yet ready to be presented as approved WHO guidance or as a fully specified technology product.</w:t>
            </w:r>
          </w:p>
        </w:tc>
      </w:tr>
    </w:tbl>
    <w:p>
      <w:pPr>
        <w:spacing w:after="0"/>
      </w:pPr>
    </w:p>
    <w:p>
      <w:pPr>
        <w:spacing w:before="360"/>
        <w:jc w:val="center"/>
      </w:pPr>
      <w:r>
        <w:rPr>
          <w:b/>
          <w:color w:val="17365D"/>
          <w:sz w:val="22"/>
        </w:rPr>
        <w:t>One programme architecture. Two connected DAKs. One complete demonstration. Three practical implementation workbooks.</w:t>
      </w:r>
    </w:p>
    <w:sectPr w:rsidR="00FC693F" w:rsidRPr="0006063C" w:rsidSect="00034616">
      <w:footerReference w:type="default" r:id="rId9"/>
      <w:head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 xml:space="preserve">Climate-Health SMART Guidelines Programme - Working Draft v0.1.0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E6E6E"/>
        <w:sz w:val="16"/>
      </w:rPr>
      <w:t>Climate-Health SMART Guidelines Programme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2F75B5"/>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2F75B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0"/>
      <w:contextualSpacing/>
    </w:pPr>
    <w:rPr>
      <w:rFonts w:asciiTheme="majorHAnsi" w:eastAsiaTheme="majorEastAsia" w:hAnsiTheme="majorHAnsi" w:cstheme="majorBidi" w:ascii="Aptos Display" w:hAnsi="Aptos Display"/>
      <w:b/>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